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8F01" w14:textId="77777777" w:rsidR="00BC5817" w:rsidRPr="00752594" w:rsidRDefault="00BE03D9" w:rsidP="009D63BF">
      <w:pPr>
        <w:jc w:val="center"/>
        <w:rPr>
          <w:rFonts w:ascii="Livvic Light" w:hAnsi="Livvic Light" w:cs="Calibri Light"/>
          <w:b/>
          <w:bCs/>
        </w:rPr>
      </w:pPr>
      <w:r w:rsidRPr="00752594">
        <w:rPr>
          <w:rFonts w:ascii="Livvic Light" w:hAnsi="Livvic Light" w:cs="Calibri Light"/>
          <w:b/>
          <w:bCs/>
        </w:rPr>
        <w:t>COMUNICATO STAMPA</w:t>
      </w:r>
    </w:p>
    <w:p w14:paraId="3297B722" w14:textId="4A67263C" w:rsidR="00026164" w:rsidRPr="00752594" w:rsidRDefault="00026164" w:rsidP="00026164">
      <w:pPr>
        <w:spacing w:line="247" w:lineRule="auto"/>
        <w:rPr>
          <w:rFonts w:ascii="Livvic Light" w:hAnsi="Livvic Light" w:cstheme="minorHAnsi"/>
          <w:sz w:val="21"/>
          <w:szCs w:val="21"/>
        </w:rPr>
      </w:pPr>
    </w:p>
    <w:p w14:paraId="032D9337" w14:textId="5C2C4A14" w:rsidR="00F84586" w:rsidRDefault="005B56C8" w:rsidP="009008BB">
      <w:pPr>
        <w:spacing w:line="247" w:lineRule="auto"/>
        <w:jc w:val="center"/>
        <w:rPr>
          <w:rFonts w:ascii="Livvic Light" w:hAnsi="Livvic Light" w:cstheme="minorHAnsi"/>
          <w:b/>
          <w:bCs/>
          <w:sz w:val="26"/>
          <w:szCs w:val="26"/>
        </w:rPr>
      </w:pPr>
      <w:r w:rsidRPr="00F84586">
        <w:rPr>
          <w:rFonts w:ascii="Livvic Light" w:hAnsi="Livvic Light" w:cstheme="minorHAnsi"/>
          <w:b/>
          <w:bCs/>
          <w:sz w:val="26"/>
          <w:szCs w:val="26"/>
        </w:rPr>
        <w:t xml:space="preserve">Italia sempre più fragile: </w:t>
      </w:r>
      <w:r w:rsidR="00F84586" w:rsidRPr="00F84586">
        <w:rPr>
          <w:rFonts w:ascii="Livvic Light" w:hAnsi="Livvic Light" w:cstheme="minorHAnsi"/>
          <w:b/>
          <w:bCs/>
          <w:sz w:val="26"/>
          <w:szCs w:val="26"/>
        </w:rPr>
        <w:t xml:space="preserve">11 milioni di </w:t>
      </w:r>
      <w:r w:rsidR="0056704F" w:rsidRPr="00F84586">
        <w:rPr>
          <w:rFonts w:ascii="Livvic Light" w:hAnsi="Livvic Light" w:cstheme="minorHAnsi"/>
          <w:b/>
          <w:bCs/>
          <w:sz w:val="26"/>
          <w:szCs w:val="26"/>
        </w:rPr>
        <w:t>over-5</w:t>
      </w:r>
      <w:r w:rsidRPr="00F84586">
        <w:rPr>
          <w:rFonts w:ascii="Livvic Light" w:hAnsi="Livvic Light" w:cstheme="minorHAnsi"/>
          <w:b/>
          <w:bCs/>
          <w:sz w:val="26"/>
          <w:szCs w:val="26"/>
        </w:rPr>
        <w:t>0</w:t>
      </w:r>
      <w:r w:rsidR="00F84586" w:rsidRPr="00F84586">
        <w:rPr>
          <w:rFonts w:ascii="Livvic Light" w:hAnsi="Livvic Light" w:cstheme="minorHAnsi"/>
          <w:b/>
          <w:bCs/>
          <w:sz w:val="26"/>
          <w:szCs w:val="26"/>
        </w:rPr>
        <w:t xml:space="preserve"> con fragilità, numero destinato a crescere</w:t>
      </w:r>
    </w:p>
    <w:p w14:paraId="11AA49E6" w14:textId="77777777" w:rsidR="009008BB" w:rsidRPr="009008BB" w:rsidRDefault="009008BB" w:rsidP="009008BB">
      <w:pPr>
        <w:spacing w:line="247" w:lineRule="auto"/>
        <w:jc w:val="center"/>
        <w:rPr>
          <w:rFonts w:ascii="Livvic Light" w:hAnsi="Livvic Light" w:cstheme="minorHAnsi"/>
          <w:b/>
          <w:bCs/>
          <w:sz w:val="10"/>
          <w:szCs w:val="10"/>
        </w:rPr>
      </w:pPr>
    </w:p>
    <w:p w14:paraId="15FD6338" w14:textId="580F6826" w:rsidR="00E34617" w:rsidRPr="00E34617" w:rsidRDefault="00E34617" w:rsidP="00921CF4">
      <w:pPr>
        <w:numPr>
          <w:ilvl w:val="0"/>
          <w:numId w:val="20"/>
        </w:numPr>
        <w:ind w:left="426" w:hanging="284"/>
        <w:jc w:val="both"/>
        <w:rPr>
          <w:rFonts w:ascii="Livvic Light" w:hAnsi="Livvic Light" w:cs="Calibri"/>
          <w:color w:val="212121"/>
          <w:sz w:val="21"/>
          <w:szCs w:val="21"/>
        </w:rPr>
      </w:pPr>
      <w:r w:rsidRPr="00E34617">
        <w:rPr>
          <w:rFonts w:ascii="Livvic Light" w:hAnsi="Livvic Light" w:cs="Calibri"/>
          <w:color w:val="212121"/>
          <w:sz w:val="21"/>
          <w:szCs w:val="21"/>
        </w:rPr>
        <w:t>Misurato per la prima volta il trend di fragilità nella popolazione ultracinquantenne in Italia: tra il 2011 e il 2021 aumentati dal 26 al 40% gli italiani over-50 in condizioni di fragilità lieve, moderata o severa. Più che raddoppiati i soggetti con fragilità severa, in gran parte ultrasettantenni.</w:t>
      </w:r>
    </w:p>
    <w:p w14:paraId="0B9DA729" w14:textId="34D413D7" w:rsidR="00E34617" w:rsidRPr="00E34617" w:rsidRDefault="00E34617" w:rsidP="00921CF4">
      <w:pPr>
        <w:numPr>
          <w:ilvl w:val="0"/>
          <w:numId w:val="20"/>
        </w:numPr>
        <w:ind w:left="426" w:hanging="284"/>
        <w:jc w:val="both"/>
        <w:rPr>
          <w:rFonts w:ascii="Livvic Light" w:hAnsi="Livvic Light" w:cs="Calibri"/>
          <w:color w:val="212121"/>
          <w:sz w:val="21"/>
          <w:szCs w:val="21"/>
        </w:rPr>
      </w:pPr>
      <w:r w:rsidRPr="00E34617">
        <w:rPr>
          <w:rFonts w:ascii="Livvic Light" w:hAnsi="Livvic Light" w:cs="Calibri"/>
          <w:color w:val="212121"/>
          <w:sz w:val="21"/>
          <w:szCs w:val="21"/>
        </w:rPr>
        <w:t>Servizi di assistenza domiciliare e RSA ancora sottopotenziati rispetto ai bisogni assistenziali degli anziani, soprattutto al Sud</w:t>
      </w:r>
    </w:p>
    <w:p w14:paraId="32A99625" w14:textId="5AE12D8F" w:rsidR="00E34617" w:rsidRPr="00E34617" w:rsidRDefault="00E34617" w:rsidP="00921CF4">
      <w:pPr>
        <w:numPr>
          <w:ilvl w:val="0"/>
          <w:numId w:val="20"/>
        </w:numPr>
        <w:ind w:left="426" w:hanging="284"/>
        <w:jc w:val="both"/>
        <w:rPr>
          <w:rFonts w:ascii="Calibri" w:hAnsi="Calibri" w:cs="Calibri"/>
          <w:color w:val="000000" w:themeColor="text1"/>
          <w:sz w:val="22"/>
          <w:szCs w:val="22"/>
        </w:rPr>
      </w:pPr>
      <w:r w:rsidRPr="00E34617">
        <w:rPr>
          <w:rFonts w:ascii="Livvic Light" w:hAnsi="Livvic Light" w:cs="Calibri"/>
          <w:color w:val="212121"/>
          <w:sz w:val="21"/>
          <w:szCs w:val="21"/>
        </w:rPr>
        <w:t>Bernabei, Italia Longeva:</w:t>
      </w:r>
      <w:r w:rsidRPr="00E34617">
        <w:rPr>
          <w:rFonts w:ascii="Livvic Light" w:hAnsi="Livvic Light" w:cs="Calibri"/>
          <w:i/>
          <w:iCs/>
          <w:color w:val="212121"/>
          <w:sz w:val="21"/>
          <w:szCs w:val="21"/>
        </w:rPr>
        <w:t xml:space="preserve"> “Se non si inverte questa traiettoria, il servizio sanitario non sarà più in grado di sostenere il peso della fragilità. Misurarla su ampia scala indispensabile per anticipare i bisogni e organizzare un’adeguata offerta di assistenza territoriale a lungo termine”</w:t>
      </w:r>
    </w:p>
    <w:p w14:paraId="547576FC" w14:textId="77777777" w:rsidR="00E34617" w:rsidRDefault="00E34617" w:rsidP="00F84586">
      <w:pPr>
        <w:spacing w:line="247" w:lineRule="auto"/>
        <w:jc w:val="center"/>
        <w:rPr>
          <w:rFonts w:ascii="Livvic Light" w:hAnsi="Livvic Light" w:cstheme="minorHAnsi"/>
          <w:i/>
          <w:iCs/>
          <w:sz w:val="21"/>
          <w:szCs w:val="21"/>
        </w:rPr>
      </w:pPr>
    </w:p>
    <w:p w14:paraId="3996F377" w14:textId="77777777" w:rsidR="00E34617" w:rsidRPr="00F26FEE" w:rsidRDefault="00E34617" w:rsidP="00397736">
      <w:pPr>
        <w:spacing w:after="120"/>
        <w:jc w:val="both"/>
        <w:rPr>
          <w:rFonts w:ascii="Livvic Light" w:hAnsi="Livvic Light" w:cs="Calibri Light"/>
          <w:sz w:val="10"/>
          <w:szCs w:val="10"/>
        </w:rPr>
      </w:pPr>
    </w:p>
    <w:p w14:paraId="16762071" w14:textId="67D83DBC" w:rsidR="00406045" w:rsidRDefault="00DB01BC" w:rsidP="00397736">
      <w:pPr>
        <w:spacing w:after="120"/>
        <w:jc w:val="both"/>
        <w:rPr>
          <w:rFonts w:ascii="Livvic Light" w:hAnsi="Livvic Light" w:cs="Calibri Light"/>
          <w:sz w:val="21"/>
          <w:szCs w:val="21"/>
        </w:rPr>
      </w:pPr>
      <w:r w:rsidRPr="00033A5E">
        <w:rPr>
          <w:rFonts w:ascii="Livvic Light" w:hAnsi="Livvic Light" w:cs="Calibri Light"/>
          <w:sz w:val="21"/>
          <w:szCs w:val="21"/>
        </w:rPr>
        <w:t xml:space="preserve">Roma, </w:t>
      </w:r>
      <w:r w:rsidR="00752594" w:rsidRPr="00033A5E">
        <w:rPr>
          <w:rFonts w:ascii="Livvic Light" w:hAnsi="Livvic Light" w:cs="Calibri Light"/>
          <w:sz w:val="21"/>
          <w:szCs w:val="21"/>
        </w:rPr>
        <w:t xml:space="preserve">11 </w:t>
      </w:r>
      <w:r w:rsidR="0038269D" w:rsidRPr="00033A5E">
        <w:rPr>
          <w:rFonts w:ascii="Livvic Light" w:hAnsi="Livvic Light" w:cs="Calibri Light"/>
          <w:sz w:val="21"/>
          <w:szCs w:val="21"/>
        </w:rPr>
        <w:t>luglio 202</w:t>
      </w:r>
      <w:r w:rsidR="00752594" w:rsidRPr="00033A5E">
        <w:rPr>
          <w:rFonts w:ascii="Livvic Light" w:hAnsi="Livvic Light" w:cs="Calibri Light"/>
          <w:sz w:val="21"/>
          <w:szCs w:val="21"/>
        </w:rPr>
        <w:t>3</w:t>
      </w:r>
      <w:r w:rsidRPr="00752594">
        <w:rPr>
          <w:rFonts w:ascii="Livvic Light" w:hAnsi="Livvic Light" w:cs="Calibri Light"/>
          <w:sz w:val="21"/>
          <w:szCs w:val="21"/>
        </w:rPr>
        <w:t xml:space="preserve"> </w:t>
      </w:r>
      <w:r w:rsidR="00791D2C" w:rsidRPr="00752594">
        <w:rPr>
          <w:rFonts w:ascii="Livvic Light" w:hAnsi="Livvic Light" w:cs="Calibri Light"/>
          <w:sz w:val="21"/>
          <w:szCs w:val="21"/>
        </w:rPr>
        <w:t>–</w:t>
      </w:r>
      <w:r w:rsidRPr="00752594">
        <w:rPr>
          <w:rFonts w:ascii="Livvic Light" w:hAnsi="Livvic Light" w:cs="Calibri Light"/>
          <w:sz w:val="21"/>
          <w:szCs w:val="21"/>
        </w:rPr>
        <w:t xml:space="preserve"> </w:t>
      </w:r>
      <w:r w:rsidR="003C5D88">
        <w:rPr>
          <w:rFonts w:ascii="Livvic Light" w:hAnsi="Livvic Light" w:cs="Calibri Light"/>
          <w:b/>
          <w:bCs/>
          <w:sz w:val="21"/>
          <w:szCs w:val="21"/>
        </w:rPr>
        <w:t xml:space="preserve">In Italia, </w:t>
      </w:r>
      <w:r w:rsidR="00385A21">
        <w:rPr>
          <w:rFonts w:ascii="Livvic Light" w:hAnsi="Livvic Light" w:cs="Calibri Light"/>
          <w:b/>
          <w:bCs/>
          <w:sz w:val="21"/>
          <w:szCs w:val="21"/>
        </w:rPr>
        <w:t>ai primi posti al mondo per longevità</w:t>
      </w:r>
      <w:r w:rsidR="003C5D88">
        <w:rPr>
          <w:rFonts w:ascii="Livvic Light" w:hAnsi="Livvic Light" w:cs="Calibri Light"/>
          <w:b/>
          <w:bCs/>
          <w:sz w:val="21"/>
          <w:szCs w:val="21"/>
        </w:rPr>
        <w:t xml:space="preserve">, </w:t>
      </w:r>
      <w:r w:rsidR="00130358">
        <w:rPr>
          <w:rFonts w:ascii="Livvic Light" w:hAnsi="Livvic Light" w:cs="Calibri Light"/>
          <w:b/>
          <w:bCs/>
          <w:sz w:val="21"/>
          <w:szCs w:val="21"/>
        </w:rPr>
        <w:t>la fragilità</w:t>
      </w:r>
      <w:r w:rsidR="00E9553B">
        <w:rPr>
          <w:rFonts w:ascii="Livvic Light" w:hAnsi="Livvic Light" w:cs="Calibri Light"/>
          <w:b/>
          <w:bCs/>
          <w:sz w:val="21"/>
          <w:szCs w:val="21"/>
        </w:rPr>
        <w:t xml:space="preserve"> cresce</w:t>
      </w:r>
      <w:r w:rsidR="00DF4F27" w:rsidRPr="00033A5E">
        <w:rPr>
          <w:rFonts w:ascii="Livvic Light" w:hAnsi="Livvic Light" w:cs="Calibri Light"/>
          <w:b/>
          <w:bCs/>
          <w:sz w:val="21"/>
          <w:szCs w:val="21"/>
        </w:rPr>
        <w:t xml:space="preserve"> più </w:t>
      </w:r>
      <w:r w:rsidR="00033A5E" w:rsidRPr="00033A5E">
        <w:rPr>
          <w:rFonts w:ascii="Livvic Light" w:hAnsi="Livvic Light" w:cs="Calibri Light"/>
          <w:b/>
          <w:bCs/>
          <w:sz w:val="21"/>
          <w:szCs w:val="21"/>
        </w:rPr>
        <w:t xml:space="preserve">velocemente </w:t>
      </w:r>
      <w:r w:rsidR="00DF4F27" w:rsidRPr="00033A5E">
        <w:rPr>
          <w:rFonts w:ascii="Livvic Light" w:hAnsi="Livvic Light" w:cs="Calibri Light"/>
          <w:b/>
          <w:bCs/>
          <w:sz w:val="21"/>
          <w:szCs w:val="21"/>
        </w:rPr>
        <w:t>dell’aspettativa di vi</w:t>
      </w:r>
      <w:r w:rsidR="00033A5E" w:rsidRPr="00033A5E">
        <w:rPr>
          <w:rFonts w:ascii="Livvic Light" w:hAnsi="Livvic Light" w:cs="Calibri Light"/>
          <w:b/>
          <w:bCs/>
          <w:sz w:val="21"/>
          <w:szCs w:val="21"/>
        </w:rPr>
        <w:t>ta</w:t>
      </w:r>
      <w:r w:rsidR="00D84EBF">
        <w:rPr>
          <w:rFonts w:ascii="Livvic Light" w:hAnsi="Livvic Light" w:cs="Calibri Light"/>
          <w:b/>
          <w:bCs/>
          <w:sz w:val="21"/>
          <w:szCs w:val="21"/>
        </w:rPr>
        <w:t xml:space="preserve">: </w:t>
      </w:r>
      <w:r w:rsidR="007E7FBE" w:rsidRPr="007E7FBE">
        <w:rPr>
          <w:rFonts w:ascii="Livvic Light" w:hAnsi="Livvic Light" w:cs="Calibri Light"/>
          <w:b/>
          <w:bCs/>
          <w:sz w:val="21"/>
          <w:szCs w:val="21"/>
        </w:rPr>
        <w:t>tra il 2011 e il 2021</w:t>
      </w:r>
      <w:r w:rsidR="00130358" w:rsidRPr="00130358">
        <w:rPr>
          <w:rFonts w:ascii="Livvic Light" w:hAnsi="Livvic Light" w:cs="Calibri Light"/>
          <w:sz w:val="21"/>
          <w:szCs w:val="21"/>
        </w:rPr>
        <w:t xml:space="preserve">, </w:t>
      </w:r>
      <w:r w:rsidR="007B6700">
        <w:rPr>
          <w:rFonts w:ascii="Livvic Light" w:hAnsi="Livvic Light" w:cs="Calibri Light"/>
          <w:sz w:val="21"/>
          <w:szCs w:val="21"/>
        </w:rPr>
        <w:t xml:space="preserve">gli </w:t>
      </w:r>
      <w:r w:rsidR="003C5D88">
        <w:rPr>
          <w:rFonts w:ascii="Livvic Light" w:hAnsi="Livvic Light" w:cs="Calibri Light"/>
          <w:sz w:val="21"/>
          <w:szCs w:val="21"/>
        </w:rPr>
        <w:t>italiani</w:t>
      </w:r>
      <w:r w:rsidR="00D84EBF" w:rsidRPr="00130358">
        <w:rPr>
          <w:rFonts w:ascii="Livvic Light" w:hAnsi="Livvic Light" w:cs="Calibri Light"/>
          <w:sz w:val="21"/>
          <w:szCs w:val="21"/>
        </w:rPr>
        <w:t xml:space="preserve"> sopra i cinquant’anni </w:t>
      </w:r>
      <w:r w:rsidR="00BD4A81">
        <w:rPr>
          <w:rFonts w:ascii="Livvic Light" w:hAnsi="Livvic Light" w:cs="Calibri Light"/>
          <w:sz w:val="21"/>
          <w:szCs w:val="21"/>
        </w:rPr>
        <w:t>con</w:t>
      </w:r>
      <w:r w:rsidR="00D84EBF" w:rsidRPr="00130358">
        <w:rPr>
          <w:rFonts w:ascii="Livvic Light" w:hAnsi="Livvic Light" w:cs="Calibri Light"/>
          <w:sz w:val="21"/>
          <w:szCs w:val="21"/>
        </w:rPr>
        <w:t xml:space="preserve"> fragilità </w:t>
      </w:r>
      <w:r w:rsidR="00BD4A81">
        <w:rPr>
          <w:rFonts w:ascii="Livvic Light" w:hAnsi="Livvic Light" w:cs="Calibri Light"/>
          <w:sz w:val="21"/>
          <w:szCs w:val="21"/>
        </w:rPr>
        <w:t>lieve</w:t>
      </w:r>
      <w:r w:rsidR="009C1C85">
        <w:rPr>
          <w:rFonts w:ascii="Livvic Light" w:hAnsi="Livvic Light" w:cs="Calibri Light"/>
          <w:sz w:val="21"/>
          <w:szCs w:val="21"/>
        </w:rPr>
        <w:t>, m</w:t>
      </w:r>
      <w:r w:rsidR="00BD4A81">
        <w:rPr>
          <w:rFonts w:ascii="Livvic Light" w:hAnsi="Livvic Light" w:cs="Calibri Light"/>
          <w:sz w:val="21"/>
          <w:szCs w:val="21"/>
        </w:rPr>
        <w:t xml:space="preserve">oderata o severa </w:t>
      </w:r>
      <w:r w:rsidR="00130358">
        <w:rPr>
          <w:rFonts w:ascii="Livvic Light" w:hAnsi="Livvic Light" w:cs="Calibri Light"/>
          <w:sz w:val="21"/>
          <w:szCs w:val="21"/>
        </w:rPr>
        <w:t xml:space="preserve">sono </w:t>
      </w:r>
      <w:r w:rsidR="00E9553B">
        <w:rPr>
          <w:rFonts w:ascii="Livvic Light" w:hAnsi="Livvic Light" w:cs="Calibri Light"/>
          <w:sz w:val="21"/>
          <w:szCs w:val="21"/>
        </w:rPr>
        <w:t>passati</w:t>
      </w:r>
      <w:r w:rsidR="00130358">
        <w:rPr>
          <w:rFonts w:ascii="Livvic Light" w:hAnsi="Livvic Light" w:cs="Calibri Light"/>
          <w:sz w:val="21"/>
          <w:szCs w:val="21"/>
        </w:rPr>
        <w:t xml:space="preserve"> dal </w:t>
      </w:r>
      <w:r w:rsidR="00130358" w:rsidRPr="00130358">
        <w:rPr>
          <w:rFonts w:ascii="Livvic Light" w:hAnsi="Livvic Light" w:cs="Calibri Light"/>
          <w:b/>
          <w:bCs/>
          <w:sz w:val="21"/>
          <w:szCs w:val="21"/>
        </w:rPr>
        <w:t>26%</w:t>
      </w:r>
      <w:r w:rsidR="00780D3D">
        <w:rPr>
          <w:rFonts w:ascii="Livvic Light" w:hAnsi="Livvic Light" w:cs="Calibri Light"/>
          <w:sz w:val="21"/>
          <w:szCs w:val="21"/>
        </w:rPr>
        <w:t xml:space="preserve"> </w:t>
      </w:r>
      <w:r w:rsidR="00130358">
        <w:rPr>
          <w:rFonts w:ascii="Livvic Light" w:hAnsi="Livvic Light" w:cs="Calibri Light"/>
          <w:sz w:val="21"/>
          <w:szCs w:val="21"/>
        </w:rPr>
        <w:t xml:space="preserve">al </w:t>
      </w:r>
      <w:r w:rsidR="00130358" w:rsidRPr="00130358">
        <w:rPr>
          <w:rFonts w:ascii="Livvic Light" w:hAnsi="Livvic Light" w:cs="Calibri Light"/>
          <w:b/>
          <w:bCs/>
          <w:sz w:val="21"/>
          <w:szCs w:val="21"/>
        </w:rPr>
        <w:t>40%</w:t>
      </w:r>
      <w:r w:rsidR="00130358">
        <w:rPr>
          <w:rFonts w:ascii="Livvic Light" w:hAnsi="Livvic Light" w:cs="Calibri Light"/>
          <w:sz w:val="21"/>
          <w:szCs w:val="21"/>
        </w:rPr>
        <w:t xml:space="preserve"> </w:t>
      </w:r>
      <w:r w:rsidR="002262F9">
        <w:rPr>
          <w:rFonts w:ascii="Livvic Light" w:hAnsi="Livvic Light" w:cs="Calibri Light"/>
          <w:sz w:val="21"/>
          <w:szCs w:val="21"/>
        </w:rPr>
        <w:t>(</w:t>
      </w:r>
      <w:r w:rsidR="002262F9" w:rsidRPr="002262F9">
        <w:rPr>
          <w:rFonts w:ascii="Livvic Light" w:hAnsi="Livvic Light" w:cs="Calibri Light"/>
          <w:sz w:val="21"/>
          <w:szCs w:val="21"/>
        </w:rPr>
        <w:t>oltre</w:t>
      </w:r>
      <w:r w:rsidR="00130358" w:rsidRPr="002262F9">
        <w:rPr>
          <w:rFonts w:ascii="Livvic Light" w:hAnsi="Livvic Light" w:cs="Calibri Light"/>
          <w:sz w:val="21"/>
          <w:szCs w:val="21"/>
        </w:rPr>
        <w:t xml:space="preserve"> </w:t>
      </w:r>
      <w:r w:rsidR="00130358" w:rsidRPr="002262F9">
        <w:rPr>
          <w:rFonts w:ascii="Livvic Light" w:hAnsi="Livvic Light" w:cs="Calibri Light"/>
          <w:b/>
          <w:bCs/>
          <w:sz w:val="21"/>
          <w:szCs w:val="21"/>
        </w:rPr>
        <w:t>11</w:t>
      </w:r>
      <w:r w:rsidR="002262F9" w:rsidRPr="002262F9">
        <w:rPr>
          <w:rFonts w:ascii="Livvic Light" w:hAnsi="Livvic Light" w:cs="Calibri Light"/>
          <w:b/>
          <w:bCs/>
          <w:sz w:val="21"/>
          <w:szCs w:val="21"/>
        </w:rPr>
        <w:t xml:space="preserve"> milioni</w:t>
      </w:r>
      <w:r w:rsidR="00791F72">
        <w:rPr>
          <w:rFonts w:ascii="Livvic Light" w:hAnsi="Livvic Light" w:cs="Calibri Light"/>
          <w:b/>
          <w:bCs/>
          <w:sz w:val="21"/>
          <w:szCs w:val="21"/>
        </w:rPr>
        <w:t xml:space="preserve"> </w:t>
      </w:r>
      <w:r w:rsidR="00791F72" w:rsidRPr="00791F72">
        <w:rPr>
          <w:rFonts w:ascii="Livvic Light" w:hAnsi="Livvic Light" w:cs="Calibri Light"/>
          <w:sz w:val="21"/>
          <w:szCs w:val="21"/>
        </w:rPr>
        <w:t>di persone</w:t>
      </w:r>
      <w:r w:rsidR="00A71FCB" w:rsidRPr="00A71FCB">
        <w:rPr>
          <w:rFonts w:ascii="Livvic Light" w:hAnsi="Livvic Light" w:cs="Calibri Light"/>
          <w:sz w:val="21"/>
          <w:szCs w:val="21"/>
          <w:vertAlign w:val="superscript"/>
        </w:rPr>
        <w:t>1</w:t>
      </w:r>
      <w:r w:rsidR="002262F9">
        <w:rPr>
          <w:rFonts w:ascii="Livvic Light" w:hAnsi="Livvic Light" w:cs="Calibri Light"/>
          <w:sz w:val="21"/>
          <w:szCs w:val="21"/>
        </w:rPr>
        <w:t>)</w:t>
      </w:r>
      <w:r w:rsidR="00130358">
        <w:rPr>
          <w:rFonts w:ascii="Livvic Light" w:hAnsi="Livvic Light" w:cs="Calibri Light"/>
          <w:sz w:val="21"/>
          <w:szCs w:val="21"/>
        </w:rPr>
        <w:t>,</w:t>
      </w:r>
      <w:r w:rsidR="002262F9">
        <w:rPr>
          <w:rFonts w:ascii="Livvic Light" w:hAnsi="Livvic Light" w:cs="Calibri Light"/>
          <w:sz w:val="21"/>
          <w:szCs w:val="21"/>
        </w:rPr>
        <w:t xml:space="preserve"> con </w:t>
      </w:r>
      <w:r w:rsidR="00130358">
        <w:rPr>
          <w:rFonts w:ascii="Livvic Light" w:hAnsi="Livvic Light" w:cs="Calibri Light"/>
          <w:sz w:val="21"/>
          <w:szCs w:val="21"/>
        </w:rPr>
        <w:t xml:space="preserve">un trend </w:t>
      </w:r>
      <w:r w:rsidR="00780D3D">
        <w:rPr>
          <w:rFonts w:ascii="Livvic Light" w:hAnsi="Livvic Light" w:cs="Calibri Light"/>
          <w:sz w:val="21"/>
          <w:szCs w:val="21"/>
        </w:rPr>
        <w:t xml:space="preserve">di </w:t>
      </w:r>
      <w:r w:rsidR="00130358">
        <w:rPr>
          <w:rFonts w:ascii="Livvic Light" w:hAnsi="Livvic Light" w:cs="Calibri Light"/>
          <w:sz w:val="21"/>
          <w:szCs w:val="21"/>
        </w:rPr>
        <w:t>crescita costante.</w:t>
      </w:r>
      <w:r w:rsidR="00397736">
        <w:rPr>
          <w:rFonts w:ascii="Livvic Light" w:hAnsi="Livvic Light" w:cs="Calibri Light"/>
          <w:sz w:val="21"/>
          <w:szCs w:val="21"/>
        </w:rPr>
        <w:t xml:space="preserve"> </w:t>
      </w:r>
      <w:r w:rsidR="002262F9">
        <w:rPr>
          <w:rFonts w:ascii="Livvic Light" w:hAnsi="Livvic Light" w:cs="Calibri Light"/>
          <w:sz w:val="21"/>
          <w:szCs w:val="21"/>
        </w:rPr>
        <w:t>A preoccupare è</w:t>
      </w:r>
      <w:r w:rsidR="007E7FBE">
        <w:rPr>
          <w:rFonts w:ascii="Livvic Light" w:hAnsi="Livvic Light" w:cs="Calibri Light"/>
          <w:sz w:val="21"/>
          <w:szCs w:val="21"/>
        </w:rPr>
        <w:t>,</w:t>
      </w:r>
      <w:r w:rsidR="002262F9">
        <w:rPr>
          <w:rFonts w:ascii="Livvic Light" w:hAnsi="Livvic Light" w:cs="Calibri Light"/>
          <w:sz w:val="21"/>
          <w:szCs w:val="21"/>
        </w:rPr>
        <w:t xml:space="preserve"> </w:t>
      </w:r>
      <w:r w:rsidR="00FF78CF">
        <w:rPr>
          <w:rFonts w:ascii="Livvic Light" w:hAnsi="Livvic Light" w:cs="Calibri Light"/>
          <w:sz w:val="21"/>
          <w:szCs w:val="21"/>
        </w:rPr>
        <w:t>in particola</w:t>
      </w:r>
      <w:r w:rsidR="00791F72">
        <w:rPr>
          <w:rFonts w:ascii="Livvic Light" w:hAnsi="Livvic Light" w:cs="Calibri Light"/>
          <w:sz w:val="21"/>
          <w:szCs w:val="21"/>
        </w:rPr>
        <w:t>re</w:t>
      </w:r>
      <w:r w:rsidR="009461FB">
        <w:rPr>
          <w:rFonts w:ascii="Livvic Light" w:hAnsi="Livvic Light" w:cs="Calibri Light"/>
          <w:sz w:val="21"/>
          <w:szCs w:val="21"/>
        </w:rPr>
        <w:t>,</w:t>
      </w:r>
      <w:r w:rsidR="002262F9">
        <w:rPr>
          <w:rFonts w:ascii="Livvic Light" w:hAnsi="Livvic Light" w:cs="Calibri Light"/>
          <w:sz w:val="21"/>
          <w:szCs w:val="21"/>
        </w:rPr>
        <w:t xml:space="preserve"> </w:t>
      </w:r>
      <w:r w:rsidR="002262F9" w:rsidRPr="00FF78CF">
        <w:rPr>
          <w:rFonts w:ascii="Livvic Light" w:hAnsi="Livvic Light" w:cs="Calibri Light"/>
          <w:b/>
          <w:bCs/>
          <w:sz w:val="21"/>
          <w:szCs w:val="21"/>
        </w:rPr>
        <w:t>l’</w:t>
      </w:r>
      <w:r w:rsidR="006B73BF" w:rsidRPr="00FF78CF">
        <w:rPr>
          <w:rFonts w:ascii="Livvic Light" w:hAnsi="Livvic Light" w:cs="Calibri Light"/>
          <w:b/>
          <w:bCs/>
          <w:sz w:val="21"/>
          <w:szCs w:val="21"/>
        </w:rPr>
        <w:t>espansione della</w:t>
      </w:r>
      <w:r w:rsidR="006B73BF">
        <w:rPr>
          <w:rFonts w:ascii="Livvic Light" w:hAnsi="Livvic Light" w:cs="Calibri Light"/>
          <w:sz w:val="21"/>
          <w:szCs w:val="21"/>
        </w:rPr>
        <w:t xml:space="preserve"> </w:t>
      </w:r>
      <w:r w:rsidR="006B73BF" w:rsidRPr="002262F9">
        <w:rPr>
          <w:rFonts w:ascii="Livvic Light" w:hAnsi="Livvic Light" w:cs="Calibri Light"/>
          <w:b/>
          <w:bCs/>
          <w:sz w:val="21"/>
          <w:szCs w:val="21"/>
        </w:rPr>
        <w:t>prevalenza di fragilità severa</w:t>
      </w:r>
      <w:r w:rsidR="00397736">
        <w:rPr>
          <w:rFonts w:ascii="Livvic Light" w:hAnsi="Livvic Light" w:cs="Calibri Light"/>
          <w:sz w:val="21"/>
          <w:szCs w:val="21"/>
        </w:rPr>
        <w:t xml:space="preserve"> c</w:t>
      </w:r>
      <w:r w:rsidR="00780D3D">
        <w:rPr>
          <w:rFonts w:ascii="Livvic Light" w:hAnsi="Livvic Light" w:cs="Calibri Light"/>
          <w:sz w:val="21"/>
          <w:szCs w:val="21"/>
        </w:rPr>
        <w:t xml:space="preserve">he </w:t>
      </w:r>
      <w:r w:rsidR="001121B7">
        <w:rPr>
          <w:rFonts w:ascii="Livvic Light" w:hAnsi="Livvic Light" w:cs="Calibri Light"/>
          <w:sz w:val="21"/>
          <w:szCs w:val="21"/>
        </w:rPr>
        <w:t xml:space="preserve">si è </w:t>
      </w:r>
      <w:r w:rsidR="00BD4A81" w:rsidRPr="009C1C85">
        <w:rPr>
          <w:rFonts w:ascii="Livvic Light" w:hAnsi="Livvic Light" w:cs="Calibri Light"/>
          <w:sz w:val="21"/>
          <w:szCs w:val="21"/>
        </w:rPr>
        <w:t>più che raddoppiata</w:t>
      </w:r>
      <w:r w:rsidR="001121B7">
        <w:rPr>
          <w:rFonts w:ascii="Livvic Light" w:hAnsi="Livvic Light" w:cs="Calibri Light"/>
          <w:sz w:val="21"/>
          <w:szCs w:val="21"/>
        </w:rPr>
        <w:t xml:space="preserve"> </w:t>
      </w:r>
      <w:r w:rsidR="00E9553B" w:rsidRPr="009461FB">
        <w:rPr>
          <w:rFonts w:ascii="Livvic Light" w:hAnsi="Livvic Light" w:cs="Calibri Light"/>
          <w:sz w:val="21"/>
          <w:szCs w:val="21"/>
        </w:rPr>
        <w:t>(</w:t>
      </w:r>
      <w:r w:rsidR="006B73BF" w:rsidRPr="009461FB">
        <w:rPr>
          <w:rFonts w:ascii="Livvic Light" w:hAnsi="Livvic Light" w:cs="Calibri Light"/>
          <w:sz w:val="21"/>
          <w:szCs w:val="21"/>
        </w:rPr>
        <w:t>dall’</w:t>
      </w:r>
      <w:r w:rsidR="006B73BF" w:rsidRPr="00A94DBB">
        <w:rPr>
          <w:rFonts w:ascii="Livvic Light" w:hAnsi="Livvic Light" w:cs="Calibri Light"/>
          <w:b/>
          <w:bCs/>
          <w:sz w:val="21"/>
          <w:szCs w:val="21"/>
        </w:rPr>
        <w:t>1,4%</w:t>
      </w:r>
      <w:r w:rsidR="00E9553B" w:rsidRPr="009461FB">
        <w:rPr>
          <w:rFonts w:ascii="Livvic Light" w:hAnsi="Livvic Light" w:cs="Calibri Light"/>
          <w:sz w:val="21"/>
          <w:szCs w:val="21"/>
        </w:rPr>
        <w:t xml:space="preserve"> </w:t>
      </w:r>
      <w:r w:rsidR="006B73BF" w:rsidRPr="009461FB">
        <w:rPr>
          <w:rFonts w:ascii="Livvic Light" w:hAnsi="Livvic Light" w:cs="Calibri Light"/>
          <w:sz w:val="21"/>
          <w:szCs w:val="21"/>
        </w:rPr>
        <w:t xml:space="preserve">al </w:t>
      </w:r>
      <w:r w:rsidR="006B73BF" w:rsidRPr="00A94DBB">
        <w:rPr>
          <w:rFonts w:ascii="Livvic Light" w:hAnsi="Livvic Light" w:cs="Calibri Light"/>
          <w:b/>
          <w:bCs/>
          <w:sz w:val="21"/>
          <w:szCs w:val="21"/>
        </w:rPr>
        <w:t>3,7%</w:t>
      </w:r>
      <w:r w:rsidR="00E9553B" w:rsidRPr="009461FB">
        <w:rPr>
          <w:rFonts w:ascii="Livvic Light" w:hAnsi="Livvic Light" w:cs="Calibri Light"/>
          <w:sz w:val="21"/>
          <w:szCs w:val="21"/>
        </w:rPr>
        <w:t>)</w:t>
      </w:r>
      <w:r w:rsidR="006B73BF" w:rsidRPr="009461FB">
        <w:rPr>
          <w:rFonts w:ascii="Livvic Light" w:hAnsi="Livvic Light" w:cs="Calibri Light"/>
          <w:sz w:val="21"/>
          <w:szCs w:val="21"/>
        </w:rPr>
        <w:t>,</w:t>
      </w:r>
      <w:r w:rsidR="006B73BF">
        <w:rPr>
          <w:rFonts w:ascii="Livvic Light" w:hAnsi="Livvic Light" w:cs="Calibri Light"/>
          <w:sz w:val="21"/>
          <w:szCs w:val="21"/>
        </w:rPr>
        <w:t xml:space="preserve"> </w:t>
      </w:r>
      <w:r w:rsidR="00A94DBB">
        <w:rPr>
          <w:rFonts w:ascii="Livvic Light" w:hAnsi="Livvic Light" w:cs="Calibri Light"/>
          <w:sz w:val="21"/>
          <w:szCs w:val="21"/>
        </w:rPr>
        <w:t>arrivando a</w:t>
      </w:r>
      <w:r w:rsidR="002262F9">
        <w:rPr>
          <w:rFonts w:ascii="Livvic Light" w:hAnsi="Livvic Light" w:cs="Calibri Light"/>
          <w:sz w:val="21"/>
          <w:szCs w:val="21"/>
        </w:rPr>
        <w:t xml:space="preserve"> interessare</w:t>
      </w:r>
      <w:r w:rsidR="00791F72">
        <w:rPr>
          <w:rFonts w:ascii="Livvic Light" w:hAnsi="Livvic Light" w:cs="Calibri Light"/>
          <w:sz w:val="21"/>
          <w:szCs w:val="21"/>
        </w:rPr>
        <w:t xml:space="preserve"> </w:t>
      </w:r>
      <w:r w:rsidR="002262F9" w:rsidRPr="002262F9">
        <w:rPr>
          <w:rFonts w:ascii="Livvic Light" w:hAnsi="Livvic Light" w:cs="Calibri Light"/>
          <w:b/>
          <w:bCs/>
          <w:sz w:val="21"/>
          <w:szCs w:val="21"/>
        </w:rPr>
        <w:t>oltre 1 milione di over-50</w:t>
      </w:r>
      <w:r w:rsidR="00FF78CF">
        <w:rPr>
          <w:rFonts w:ascii="Livvic Light" w:hAnsi="Livvic Light" w:cs="Calibri Light"/>
          <w:b/>
          <w:bCs/>
          <w:sz w:val="21"/>
          <w:szCs w:val="21"/>
        </w:rPr>
        <w:t>, soprattutto ultrasettantenni</w:t>
      </w:r>
      <w:r w:rsidR="0071648D">
        <w:rPr>
          <w:rFonts w:ascii="Livvic Light" w:hAnsi="Livvic Light" w:cs="Calibri Light"/>
          <w:sz w:val="21"/>
          <w:szCs w:val="21"/>
        </w:rPr>
        <w:t xml:space="preserve">. </w:t>
      </w:r>
      <w:r w:rsidR="00815B70">
        <w:rPr>
          <w:rFonts w:ascii="Livvic Light" w:hAnsi="Livvic Light" w:cs="Calibri Light"/>
          <w:sz w:val="21"/>
          <w:szCs w:val="21"/>
        </w:rPr>
        <w:t>Gli anziani</w:t>
      </w:r>
      <w:r w:rsidR="0071648D">
        <w:rPr>
          <w:rFonts w:ascii="Livvic Light" w:hAnsi="Livvic Light" w:cs="Calibri Light"/>
          <w:sz w:val="21"/>
          <w:szCs w:val="21"/>
        </w:rPr>
        <w:t xml:space="preserve"> affett</w:t>
      </w:r>
      <w:r w:rsidR="00815B70">
        <w:rPr>
          <w:rFonts w:ascii="Livvic Light" w:hAnsi="Livvic Light" w:cs="Calibri Light"/>
          <w:sz w:val="21"/>
          <w:szCs w:val="21"/>
        </w:rPr>
        <w:t>i</w:t>
      </w:r>
      <w:r w:rsidR="0071648D">
        <w:rPr>
          <w:rFonts w:ascii="Livvic Light" w:hAnsi="Livvic Light" w:cs="Calibri Light"/>
          <w:sz w:val="21"/>
          <w:szCs w:val="21"/>
        </w:rPr>
        <w:t xml:space="preserve"> da fragilità </w:t>
      </w:r>
      <w:r w:rsidR="00F120F8">
        <w:rPr>
          <w:rFonts w:ascii="Livvic Light" w:hAnsi="Livvic Light" w:cs="Calibri Light"/>
          <w:sz w:val="21"/>
          <w:szCs w:val="21"/>
        </w:rPr>
        <w:t xml:space="preserve">severa </w:t>
      </w:r>
      <w:r w:rsidR="0071648D">
        <w:rPr>
          <w:rFonts w:ascii="Livvic Light" w:hAnsi="Livvic Light" w:cs="Calibri Light"/>
          <w:sz w:val="21"/>
          <w:szCs w:val="21"/>
        </w:rPr>
        <w:t>va</w:t>
      </w:r>
      <w:r w:rsidR="00815B70">
        <w:rPr>
          <w:rFonts w:ascii="Livvic Light" w:hAnsi="Livvic Light" w:cs="Calibri Light"/>
          <w:sz w:val="21"/>
          <w:szCs w:val="21"/>
        </w:rPr>
        <w:t>nno</w:t>
      </w:r>
      <w:r w:rsidR="0071648D">
        <w:rPr>
          <w:rFonts w:ascii="Livvic Light" w:hAnsi="Livvic Light" w:cs="Calibri Light"/>
          <w:sz w:val="21"/>
          <w:szCs w:val="21"/>
        </w:rPr>
        <w:t xml:space="preserve"> maggiormente incontro a disabilità grave e ospedalizzazion</w:t>
      </w:r>
      <w:r w:rsidR="00BD4A81">
        <w:rPr>
          <w:rFonts w:ascii="Livvic Light" w:hAnsi="Livvic Light" w:cs="Calibri Light"/>
          <w:sz w:val="21"/>
          <w:szCs w:val="21"/>
        </w:rPr>
        <w:t>i ricorrenti</w:t>
      </w:r>
      <w:r w:rsidR="0071648D">
        <w:rPr>
          <w:rFonts w:ascii="Livvic Light" w:hAnsi="Livvic Light" w:cs="Calibri Light"/>
          <w:sz w:val="21"/>
          <w:szCs w:val="21"/>
        </w:rPr>
        <w:t>, e presenta</w:t>
      </w:r>
      <w:r w:rsidR="00815B70">
        <w:rPr>
          <w:rFonts w:ascii="Livvic Light" w:hAnsi="Livvic Light" w:cs="Calibri Light"/>
          <w:sz w:val="21"/>
          <w:szCs w:val="21"/>
        </w:rPr>
        <w:t>no</w:t>
      </w:r>
      <w:r w:rsidR="0071648D">
        <w:rPr>
          <w:rFonts w:ascii="Livvic Light" w:hAnsi="Livvic Light" w:cs="Calibri Light"/>
          <w:sz w:val="21"/>
          <w:szCs w:val="21"/>
        </w:rPr>
        <w:t xml:space="preserve"> </w:t>
      </w:r>
      <w:r w:rsidR="00397736">
        <w:rPr>
          <w:rFonts w:ascii="Livvic Light" w:hAnsi="Livvic Light" w:cs="Calibri Light"/>
          <w:sz w:val="21"/>
          <w:szCs w:val="21"/>
        </w:rPr>
        <w:t xml:space="preserve">un </w:t>
      </w:r>
      <w:r w:rsidR="00397736" w:rsidRPr="00397736">
        <w:rPr>
          <w:rFonts w:ascii="Livvic Light" w:hAnsi="Livvic Light" w:cs="Calibri Light"/>
          <w:b/>
          <w:bCs/>
          <w:sz w:val="21"/>
          <w:szCs w:val="21"/>
        </w:rPr>
        <w:t xml:space="preserve">rischio </w:t>
      </w:r>
      <w:r w:rsidR="00B97827">
        <w:rPr>
          <w:rFonts w:ascii="Livvic Light" w:hAnsi="Livvic Light" w:cs="Calibri Light"/>
          <w:b/>
          <w:bCs/>
          <w:sz w:val="21"/>
          <w:szCs w:val="21"/>
        </w:rPr>
        <w:t xml:space="preserve">relativo </w:t>
      </w:r>
      <w:r w:rsidR="00397736" w:rsidRPr="00397736">
        <w:rPr>
          <w:rFonts w:ascii="Livvic Light" w:hAnsi="Livvic Light" w:cs="Calibri Light"/>
          <w:b/>
          <w:bCs/>
          <w:sz w:val="21"/>
          <w:szCs w:val="21"/>
        </w:rPr>
        <w:t>di morte</w:t>
      </w:r>
      <w:r w:rsidR="00397736">
        <w:rPr>
          <w:rFonts w:ascii="Livvic Light" w:hAnsi="Livvic Light" w:cs="Calibri Light"/>
          <w:sz w:val="21"/>
          <w:szCs w:val="21"/>
        </w:rPr>
        <w:t xml:space="preserve"> a un anno</w:t>
      </w:r>
      <w:r w:rsidR="00B97827">
        <w:rPr>
          <w:rFonts w:ascii="Livvic Light" w:hAnsi="Livvic Light" w:cs="Calibri Light"/>
          <w:sz w:val="21"/>
          <w:szCs w:val="21"/>
        </w:rPr>
        <w:t xml:space="preserve"> di</w:t>
      </w:r>
      <w:r w:rsidR="00397736">
        <w:rPr>
          <w:rFonts w:ascii="Livvic Light" w:hAnsi="Livvic Light" w:cs="Calibri Light"/>
          <w:sz w:val="21"/>
          <w:szCs w:val="21"/>
        </w:rPr>
        <w:t xml:space="preserve"> </w:t>
      </w:r>
      <w:r w:rsidR="00397736">
        <w:rPr>
          <w:rFonts w:ascii="Livvic Light" w:hAnsi="Livvic Light" w:cs="Calibri Light"/>
          <w:b/>
          <w:bCs/>
          <w:sz w:val="21"/>
          <w:szCs w:val="21"/>
        </w:rPr>
        <w:t>35</w:t>
      </w:r>
      <w:r w:rsidR="00397736" w:rsidRPr="009461FB">
        <w:rPr>
          <w:rFonts w:ascii="Livvic Light" w:hAnsi="Livvic Light" w:cs="Calibri Light"/>
          <w:b/>
          <w:bCs/>
          <w:sz w:val="21"/>
          <w:szCs w:val="21"/>
        </w:rPr>
        <w:t xml:space="preserve"> volte</w:t>
      </w:r>
      <w:r w:rsidR="00397736">
        <w:rPr>
          <w:rFonts w:ascii="Livvic Light" w:hAnsi="Livvic Light" w:cs="Calibri Light"/>
          <w:sz w:val="21"/>
          <w:szCs w:val="21"/>
        </w:rPr>
        <w:t xml:space="preserve"> superiore rispetto a quello della popolazione senza fragilità. </w:t>
      </w:r>
      <w:r w:rsidR="00B97827">
        <w:rPr>
          <w:rFonts w:ascii="Livvic Light" w:hAnsi="Livvic Light" w:cs="Calibri Light"/>
          <w:sz w:val="21"/>
          <w:szCs w:val="21"/>
        </w:rPr>
        <w:t xml:space="preserve">In crescita anche </w:t>
      </w:r>
      <w:r w:rsidR="00F120F8">
        <w:rPr>
          <w:rFonts w:ascii="Livvic Light" w:hAnsi="Livvic Light" w:cs="Calibri Light"/>
          <w:sz w:val="21"/>
          <w:szCs w:val="21"/>
        </w:rPr>
        <w:t xml:space="preserve">il numero di </w:t>
      </w:r>
      <w:r w:rsidR="00B97827" w:rsidRPr="00A94DBB">
        <w:rPr>
          <w:rFonts w:ascii="Livvic Light" w:hAnsi="Livvic Light" w:cs="Calibri Light"/>
          <w:b/>
          <w:bCs/>
          <w:sz w:val="21"/>
          <w:szCs w:val="21"/>
        </w:rPr>
        <w:t>over-50</w:t>
      </w:r>
      <w:r w:rsidR="00397736" w:rsidRPr="00A94DBB">
        <w:rPr>
          <w:rFonts w:ascii="Livvic Light" w:hAnsi="Livvic Light" w:cs="Calibri Light"/>
          <w:b/>
          <w:bCs/>
          <w:sz w:val="21"/>
          <w:szCs w:val="21"/>
        </w:rPr>
        <w:t xml:space="preserve"> </w:t>
      </w:r>
      <w:r w:rsidR="00397736">
        <w:rPr>
          <w:rFonts w:ascii="Livvic Light" w:hAnsi="Livvic Light" w:cs="Calibri Light"/>
          <w:sz w:val="21"/>
          <w:szCs w:val="21"/>
        </w:rPr>
        <w:t xml:space="preserve">con </w:t>
      </w:r>
      <w:r w:rsidR="00397736" w:rsidRPr="00B97827">
        <w:rPr>
          <w:rFonts w:ascii="Livvic Light" w:hAnsi="Livvic Light" w:cs="Calibri Light"/>
          <w:b/>
          <w:bCs/>
          <w:sz w:val="21"/>
          <w:szCs w:val="21"/>
        </w:rPr>
        <w:t>fragilità moderata</w:t>
      </w:r>
      <w:r w:rsidR="00F120F8">
        <w:rPr>
          <w:rFonts w:ascii="Livvic Light" w:hAnsi="Livvic Light" w:cs="Calibri Light"/>
          <w:sz w:val="21"/>
          <w:szCs w:val="21"/>
        </w:rPr>
        <w:t>,</w:t>
      </w:r>
      <w:r w:rsidR="00815B70">
        <w:rPr>
          <w:rFonts w:ascii="Livvic Light" w:hAnsi="Livvic Light" w:cs="Calibri Light"/>
          <w:sz w:val="21"/>
          <w:szCs w:val="21"/>
        </w:rPr>
        <w:t xml:space="preserve"> </w:t>
      </w:r>
      <w:r w:rsidR="00397736">
        <w:rPr>
          <w:rFonts w:ascii="Livvic Light" w:hAnsi="Livvic Light" w:cs="Calibri Light"/>
          <w:sz w:val="21"/>
          <w:szCs w:val="21"/>
        </w:rPr>
        <w:t xml:space="preserve">oltre </w:t>
      </w:r>
      <w:r w:rsidR="007E7FBE" w:rsidRPr="007E7FBE">
        <w:rPr>
          <w:rFonts w:ascii="Livvic Light" w:hAnsi="Livvic Light" w:cs="Calibri Light"/>
          <w:b/>
          <w:bCs/>
          <w:sz w:val="21"/>
          <w:szCs w:val="21"/>
        </w:rPr>
        <w:t>2,5 milioni</w:t>
      </w:r>
      <w:r w:rsidR="00A71FCB" w:rsidRPr="00A71FCB">
        <w:rPr>
          <w:rFonts w:ascii="Livvic Light" w:hAnsi="Livvic Light" w:cs="Calibri Light"/>
          <w:sz w:val="21"/>
          <w:szCs w:val="21"/>
          <w:vertAlign w:val="superscript"/>
        </w:rPr>
        <w:t>1</w:t>
      </w:r>
      <w:r w:rsidR="00F120F8">
        <w:rPr>
          <w:rFonts w:ascii="Livvic Light" w:hAnsi="Livvic Light" w:cs="Calibri Light"/>
          <w:sz w:val="21"/>
          <w:szCs w:val="21"/>
        </w:rPr>
        <w:t xml:space="preserve"> di italiani</w:t>
      </w:r>
      <w:r w:rsidR="00BD4A81">
        <w:rPr>
          <w:rFonts w:ascii="Livvic Light" w:hAnsi="Livvic Light" w:cs="Calibri Light"/>
          <w:sz w:val="21"/>
          <w:szCs w:val="21"/>
        </w:rPr>
        <w:t>, anche in questo caso in prevalenza ultrasettantenni</w:t>
      </w:r>
      <w:r w:rsidR="00397736">
        <w:rPr>
          <w:rFonts w:ascii="Livvic Light" w:hAnsi="Livvic Light" w:cs="Calibri Light"/>
          <w:sz w:val="21"/>
          <w:szCs w:val="21"/>
        </w:rPr>
        <w:t>.</w:t>
      </w:r>
      <w:r w:rsidR="00815B70">
        <w:rPr>
          <w:rFonts w:ascii="Livvic Light" w:hAnsi="Livvic Light" w:cs="Calibri Light"/>
          <w:sz w:val="21"/>
          <w:szCs w:val="21"/>
        </w:rPr>
        <w:t xml:space="preserve"> Tuttavia, </w:t>
      </w:r>
      <w:r w:rsidR="00791F72">
        <w:rPr>
          <w:rFonts w:ascii="Livvic Light" w:hAnsi="Livvic Light" w:cs="Calibri Light"/>
          <w:sz w:val="21"/>
          <w:szCs w:val="21"/>
        </w:rPr>
        <w:t xml:space="preserve">all’espansione della fragilità dell’ultimo decennio </w:t>
      </w:r>
      <w:r w:rsidR="00815B70">
        <w:rPr>
          <w:rFonts w:ascii="Livvic Light" w:hAnsi="Livvic Light" w:cs="Calibri Light"/>
          <w:sz w:val="21"/>
          <w:szCs w:val="21"/>
        </w:rPr>
        <w:t xml:space="preserve">il sistema non </w:t>
      </w:r>
      <w:r w:rsidR="00E34617">
        <w:rPr>
          <w:rFonts w:ascii="Livvic Light" w:hAnsi="Livvic Light" w:cs="Calibri Light"/>
          <w:sz w:val="21"/>
          <w:szCs w:val="21"/>
        </w:rPr>
        <w:t>ha risposto</w:t>
      </w:r>
      <w:r w:rsidR="00815B70">
        <w:rPr>
          <w:rFonts w:ascii="Livvic Light" w:hAnsi="Livvic Light" w:cs="Calibri Light"/>
          <w:sz w:val="21"/>
          <w:szCs w:val="21"/>
        </w:rPr>
        <w:t xml:space="preserve"> </w:t>
      </w:r>
      <w:r w:rsidR="00406045">
        <w:rPr>
          <w:rFonts w:ascii="Livvic Light" w:hAnsi="Livvic Light" w:cs="Calibri Light"/>
          <w:sz w:val="21"/>
          <w:szCs w:val="21"/>
        </w:rPr>
        <w:t xml:space="preserve">con altrettanta espansione dei </w:t>
      </w:r>
      <w:r w:rsidR="00406045" w:rsidRPr="00406045">
        <w:rPr>
          <w:rFonts w:ascii="Livvic Light" w:hAnsi="Livvic Light" w:cs="Calibri Light"/>
          <w:b/>
          <w:bCs/>
          <w:sz w:val="21"/>
          <w:szCs w:val="21"/>
        </w:rPr>
        <w:t xml:space="preserve">servizi di assistenza domiciliare </w:t>
      </w:r>
      <w:r w:rsidR="00406045">
        <w:rPr>
          <w:rFonts w:ascii="Livvic Light" w:hAnsi="Livvic Light" w:cs="Calibri Light"/>
          <w:b/>
          <w:bCs/>
          <w:sz w:val="21"/>
          <w:szCs w:val="21"/>
        </w:rPr>
        <w:t>e</w:t>
      </w:r>
      <w:r w:rsidR="00406045" w:rsidRPr="00406045">
        <w:rPr>
          <w:rFonts w:ascii="Livvic Light" w:hAnsi="Livvic Light" w:cs="Calibri Light"/>
          <w:b/>
          <w:bCs/>
          <w:sz w:val="21"/>
          <w:szCs w:val="21"/>
        </w:rPr>
        <w:t xml:space="preserve"> delle cure residenziali</w:t>
      </w:r>
      <w:r w:rsidR="00BD1640">
        <w:rPr>
          <w:rFonts w:ascii="Livvic Light" w:hAnsi="Livvic Light" w:cs="Calibri Light"/>
          <w:b/>
          <w:bCs/>
          <w:sz w:val="21"/>
          <w:szCs w:val="21"/>
        </w:rPr>
        <w:t xml:space="preserve"> </w:t>
      </w:r>
      <w:r w:rsidR="00406045" w:rsidRPr="00791F72">
        <w:rPr>
          <w:rFonts w:ascii="Livvic Light" w:hAnsi="Livvic Light" w:cs="Calibri Light"/>
          <w:sz w:val="21"/>
          <w:szCs w:val="21"/>
        </w:rPr>
        <w:t>che</w:t>
      </w:r>
      <w:r w:rsidR="00BD1640" w:rsidRPr="00791F72">
        <w:rPr>
          <w:rFonts w:ascii="Livvic Light" w:hAnsi="Livvic Light" w:cs="Calibri Light"/>
          <w:sz w:val="21"/>
          <w:szCs w:val="21"/>
        </w:rPr>
        <w:t xml:space="preserve">, </w:t>
      </w:r>
      <w:r w:rsidR="00815B70" w:rsidRPr="00791F72">
        <w:rPr>
          <w:rFonts w:ascii="Livvic Light" w:hAnsi="Livvic Light" w:cs="Calibri Light"/>
          <w:sz w:val="21"/>
          <w:szCs w:val="21"/>
        </w:rPr>
        <w:t xml:space="preserve">sebbene in lieve crescita, </w:t>
      </w:r>
      <w:r w:rsidR="00406045" w:rsidRPr="00791F72">
        <w:rPr>
          <w:rFonts w:ascii="Livvic Light" w:hAnsi="Livvic Light" w:cs="Calibri Light"/>
          <w:sz w:val="21"/>
          <w:szCs w:val="21"/>
        </w:rPr>
        <w:t>sono rimasti</w:t>
      </w:r>
      <w:r w:rsidR="00406045" w:rsidRPr="00406045">
        <w:rPr>
          <w:rFonts w:ascii="Livvic Light" w:hAnsi="Livvic Light" w:cs="Calibri Light"/>
          <w:b/>
          <w:bCs/>
          <w:sz w:val="21"/>
          <w:szCs w:val="21"/>
        </w:rPr>
        <w:t xml:space="preserve"> sotto</w:t>
      </w:r>
      <w:r w:rsidR="00BD4A81">
        <w:rPr>
          <w:rFonts w:ascii="Livvic Light" w:hAnsi="Livvic Light" w:cs="Calibri Light"/>
          <w:b/>
          <w:bCs/>
          <w:sz w:val="21"/>
          <w:szCs w:val="21"/>
        </w:rPr>
        <w:t>potenziati</w:t>
      </w:r>
      <w:r w:rsidR="00406045" w:rsidRPr="00406045">
        <w:rPr>
          <w:rFonts w:ascii="Livvic Light" w:hAnsi="Livvic Light" w:cs="Calibri Light"/>
          <w:b/>
          <w:bCs/>
          <w:sz w:val="21"/>
          <w:szCs w:val="21"/>
        </w:rPr>
        <w:t xml:space="preserve"> rispetto ai bisogni degli anziani, in particolar modo nelle regioni del Sud Italia</w:t>
      </w:r>
      <w:r w:rsidR="00406045">
        <w:rPr>
          <w:rFonts w:ascii="Livvic Light" w:hAnsi="Livvic Light" w:cs="Calibri Light"/>
          <w:sz w:val="21"/>
          <w:szCs w:val="21"/>
        </w:rPr>
        <w:t xml:space="preserve">. </w:t>
      </w:r>
    </w:p>
    <w:p w14:paraId="7DB2531A" w14:textId="3E7BDCDB" w:rsidR="000029F2" w:rsidRPr="00E5118C" w:rsidRDefault="00F120F8" w:rsidP="004C5A8A">
      <w:pPr>
        <w:spacing w:after="120"/>
        <w:jc w:val="both"/>
        <w:rPr>
          <w:rFonts w:ascii="Livvic Light" w:hAnsi="Livvic Light" w:cs="Calibri Light"/>
          <w:b/>
          <w:bCs/>
          <w:sz w:val="21"/>
          <w:szCs w:val="21"/>
        </w:rPr>
      </w:pPr>
      <w:r>
        <w:rPr>
          <w:rFonts w:ascii="Livvic Light" w:hAnsi="Livvic Light" w:cs="Calibri Light"/>
          <w:sz w:val="21"/>
          <w:szCs w:val="21"/>
        </w:rPr>
        <w:t>È quanto emerge</w:t>
      </w:r>
      <w:r w:rsidR="004C5A8A">
        <w:rPr>
          <w:rFonts w:ascii="Livvic Light" w:hAnsi="Livvic Light" w:cs="Calibri Light"/>
          <w:sz w:val="21"/>
          <w:szCs w:val="21"/>
        </w:rPr>
        <w:t xml:space="preserve"> dall’Indagine di </w:t>
      </w:r>
      <w:r w:rsidR="004C5A8A" w:rsidRPr="00AF180D">
        <w:rPr>
          <w:rFonts w:ascii="Livvic Light" w:hAnsi="Livvic Light" w:cs="Calibri Light"/>
          <w:b/>
          <w:bCs/>
          <w:sz w:val="21"/>
          <w:szCs w:val="21"/>
        </w:rPr>
        <w:t>Italia Longeva</w:t>
      </w:r>
      <w:r w:rsidR="004C5A8A">
        <w:rPr>
          <w:rFonts w:ascii="Livvic Light" w:hAnsi="Livvic Light" w:cs="Calibri Light"/>
          <w:sz w:val="21"/>
          <w:szCs w:val="21"/>
        </w:rPr>
        <w:t xml:space="preserve"> </w:t>
      </w:r>
      <w:r w:rsidR="004C5A8A" w:rsidRPr="0083389D">
        <w:rPr>
          <w:rFonts w:ascii="Livvic Light" w:hAnsi="Livvic Light" w:cs="Calibri Light"/>
          <w:b/>
          <w:bCs/>
          <w:sz w:val="21"/>
          <w:szCs w:val="21"/>
        </w:rPr>
        <w:t>“</w:t>
      </w:r>
      <w:hyperlink r:id="rId8" w:history="1">
        <w:r w:rsidR="004C5A8A" w:rsidRPr="00C42E98">
          <w:rPr>
            <w:rStyle w:val="Collegamentoipertestuale"/>
            <w:rFonts w:ascii="Livvic Light" w:hAnsi="Livvic Light" w:cs="Calibri Light"/>
            <w:b/>
            <w:bCs/>
            <w:i/>
            <w:iCs/>
            <w:sz w:val="21"/>
            <w:szCs w:val="21"/>
          </w:rPr>
          <w:t>Trend di fragilità e Long-term care in Italia</w:t>
        </w:r>
      </w:hyperlink>
      <w:r w:rsidR="004C5A8A" w:rsidRPr="0083389D">
        <w:rPr>
          <w:rFonts w:ascii="Livvic Light" w:hAnsi="Livvic Light" w:cs="Calibri Light"/>
          <w:b/>
          <w:bCs/>
          <w:sz w:val="21"/>
          <w:szCs w:val="21"/>
        </w:rPr>
        <w:t>”</w:t>
      </w:r>
      <w:r w:rsidR="004C5A8A">
        <w:rPr>
          <w:rFonts w:ascii="Livvic Light" w:hAnsi="Livvic Light" w:cs="Calibri Light"/>
          <w:b/>
          <w:bCs/>
          <w:sz w:val="21"/>
          <w:szCs w:val="21"/>
        </w:rPr>
        <w:t xml:space="preserve"> </w:t>
      </w:r>
      <w:r w:rsidR="004C5A8A" w:rsidRPr="00AF180D">
        <w:rPr>
          <w:rFonts w:ascii="Livvic Light" w:hAnsi="Livvic Light" w:cs="Calibri Light"/>
          <w:sz w:val="21"/>
          <w:szCs w:val="21"/>
        </w:rPr>
        <w:t>ch</w:t>
      </w:r>
      <w:r w:rsidR="004C5A8A">
        <w:rPr>
          <w:rFonts w:ascii="Livvic Light" w:hAnsi="Livvic Light" w:cs="Calibri Light"/>
          <w:sz w:val="21"/>
          <w:szCs w:val="21"/>
        </w:rPr>
        <w:t>e</w:t>
      </w:r>
      <w:r>
        <w:rPr>
          <w:rFonts w:ascii="Livvic Light" w:hAnsi="Livvic Light" w:cs="Calibri Light"/>
          <w:sz w:val="21"/>
          <w:szCs w:val="21"/>
        </w:rPr>
        <w:t xml:space="preserve"> ha realizzato</w:t>
      </w:r>
      <w:r w:rsidR="0005504B">
        <w:rPr>
          <w:rFonts w:ascii="Livvic Light" w:hAnsi="Livvic Light" w:cs="Calibri Light"/>
          <w:sz w:val="21"/>
          <w:szCs w:val="21"/>
        </w:rPr>
        <w:t xml:space="preserve"> </w:t>
      </w:r>
      <w:r w:rsidR="004C5A8A">
        <w:rPr>
          <w:rFonts w:ascii="Livvic Light" w:hAnsi="Livvic Light" w:cs="Calibri Light"/>
          <w:sz w:val="21"/>
          <w:szCs w:val="21"/>
        </w:rPr>
        <w:t xml:space="preserve">una </w:t>
      </w:r>
      <w:r w:rsidR="004C5A8A" w:rsidRPr="00AF180D">
        <w:rPr>
          <w:rFonts w:ascii="Livvic Light" w:hAnsi="Livvic Light" w:cs="Calibri Light"/>
          <w:b/>
          <w:bCs/>
          <w:sz w:val="21"/>
          <w:szCs w:val="21"/>
        </w:rPr>
        <w:t>misurazione su larga scala della fragilità nella popolazione over-50</w:t>
      </w:r>
      <w:r w:rsidR="004C5A8A">
        <w:rPr>
          <w:rFonts w:ascii="Livvic Light" w:hAnsi="Livvic Light" w:cs="Calibri Light"/>
          <w:b/>
          <w:bCs/>
          <w:sz w:val="21"/>
          <w:szCs w:val="21"/>
        </w:rPr>
        <w:t xml:space="preserve">, </w:t>
      </w:r>
      <w:r w:rsidR="004C5A8A" w:rsidRPr="00FE04D7">
        <w:rPr>
          <w:rFonts w:ascii="Livvic Light" w:hAnsi="Livvic Light" w:cs="Calibri Light"/>
          <w:sz w:val="21"/>
          <w:szCs w:val="21"/>
        </w:rPr>
        <w:t>prendendo in esame</w:t>
      </w:r>
      <w:r w:rsidR="004C5A8A">
        <w:rPr>
          <w:rFonts w:ascii="Livvic Light" w:hAnsi="Livvic Light" w:cs="Calibri Light"/>
          <w:b/>
          <w:bCs/>
          <w:sz w:val="21"/>
          <w:szCs w:val="21"/>
        </w:rPr>
        <w:t xml:space="preserve"> </w:t>
      </w:r>
      <w:r w:rsidR="004C5A8A">
        <w:rPr>
          <w:rFonts w:ascii="Livvic Light" w:hAnsi="Livvic Light" w:cs="Calibri Light"/>
          <w:sz w:val="21"/>
          <w:szCs w:val="21"/>
        </w:rPr>
        <w:t xml:space="preserve">oltre </w:t>
      </w:r>
      <w:r w:rsidR="004C5A8A" w:rsidRPr="00865F4F">
        <w:rPr>
          <w:rFonts w:ascii="Livvic Light" w:hAnsi="Livvic Light" w:cs="Calibri Light"/>
          <w:b/>
          <w:bCs/>
          <w:sz w:val="21"/>
          <w:szCs w:val="21"/>
        </w:rPr>
        <w:t xml:space="preserve">8 milioni </w:t>
      </w:r>
      <w:r w:rsidR="00BD4A81">
        <w:rPr>
          <w:rFonts w:ascii="Livvic Light" w:hAnsi="Livvic Light" w:cs="Calibri Light"/>
          <w:b/>
          <w:bCs/>
          <w:sz w:val="21"/>
          <w:szCs w:val="21"/>
        </w:rPr>
        <w:t xml:space="preserve">di cartelle cliniche </w:t>
      </w:r>
      <w:r w:rsidR="004C5A8A" w:rsidRPr="00865F4F">
        <w:rPr>
          <w:rFonts w:ascii="Livvic Light" w:hAnsi="Livvic Light" w:cs="Calibri Light"/>
          <w:b/>
          <w:bCs/>
          <w:sz w:val="21"/>
          <w:szCs w:val="21"/>
        </w:rPr>
        <w:t>di pazienti</w:t>
      </w:r>
      <w:r w:rsidR="00791F72">
        <w:rPr>
          <w:rFonts w:ascii="Livvic Light" w:hAnsi="Livvic Light" w:cs="Calibri Light"/>
          <w:sz w:val="21"/>
          <w:szCs w:val="21"/>
        </w:rPr>
        <w:t xml:space="preserve"> in carico a</w:t>
      </w:r>
      <w:r w:rsidR="004C5A8A">
        <w:rPr>
          <w:rFonts w:ascii="Livvic Light" w:hAnsi="Livvic Light" w:cs="Calibri Light"/>
          <w:sz w:val="21"/>
          <w:szCs w:val="21"/>
        </w:rPr>
        <w:t xml:space="preserve">i medici di medicina generale </w:t>
      </w:r>
      <w:r w:rsidR="004C5A8A" w:rsidRPr="00865F4F">
        <w:rPr>
          <w:rFonts w:ascii="Livvic Light" w:hAnsi="Livvic Light" w:cs="Calibri Light"/>
          <w:b/>
          <w:bCs/>
          <w:sz w:val="21"/>
          <w:szCs w:val="21"/>
        </w:rPr>
        <w:t>tra il 2011 e il 2021</w:t>
      </w:r>
      <w:r w:rsidR="004C5A8A">
        <w:rPr>
          <w:rFonts w:ascii="Livvic Light" w:hAnsi="Livvic Light" w:cs="Calibri Light"/>
          <w:sz w:val="21"/>
          <w:szCs w:val="21"/>
        </w:rPr>
        <w:t xml:space="preserve"> (per l’80% affetti da </w:t>
      </w:r>
      <w:r w:rsidR="004C5A8A" w:rsidRPr="00B04693">
        <w:rPr>
          <w:rFonts w:ascii="Livvic Light" w:hAnsi="Livvic Light" w:cs="Calibri Light"/>
          <w:sz w:val="21"/>
          <w:szCs w:val="21"/>
        </w:rPr>
        <w:t>almeno due patologie croniche)</w:t>
      </w:r>
      <w:r w:rsidR="004C5A8A">
        <w:rPr>
          <w:rFonts w:ascii="Livvic Light" w:hAnsi="Livvic Light" w:cs="Calibri Light"/>
          <w:sz w:val="21"/>
          <w:szCs w:val="21"/>
        </w:rPr>
        <w:t>, valutati attraverso l’I</w:t>
      </w:r>
      <w:r w:rsidR="004C5A8A" w:rsidRPr="00FE04D7">
        <w:rPr>
          <w:rFonts w:ascii="Livvic Light" w:hAnsi="Livvic Light" w:cs="Calibri Light"/>
          <w:sz w:val="21"/>
          <w:szCs w:val="21"/>
        </w:rPr>
        <w:t>ndice di fragilità</w:t>
      </w:r>
      <w:r w:rsidR="004C5A8A" w:rsidRPr="00FE04D7">
        <w:rPr>
          <w:rFonts w:ascii="Livvic Light" w:hAnsi="Livvic Light" w:cs="Calibri Light"/>
          <w:sz w:val="21"/>
          <w:szCs w:val="21"/>
          <w:vertAlign w:val="superscript"/>
        </w:rPr>
        <w:t>2</w:t>
      </w:r>
      <w:r w:rsidR="004C5A8A" w:rsidRPr="00FE04D7">
        <w:rPr>
          <w:rFonts w:ascii="Livvic Light" w:hAnsi="Livvic Light" w:cs="Calibri Light"/>
          <w:sz w:val="21"/>
          <w:szCs w:val="21"/>
        </w:rPr>
        <w:t>.</w:t>
      </w:r>
      <w:r w:rsidR="004C5A8A">
        <w:rPr>
          <w:rFonts w:ascii="Livvic Light" w:hAnsi="Livvic Light" w:cs="Calibri Light"/>
          <w:b/>
          <w:bCs/>
          <w:sz w:val="21"/>
          <w:szCs w:val="21"/>
        </w:rPr>
        <w:t xml:space="preserve"> </w:t>
      </w:r>
      <w:r w:rsidR="00A94DBB" w:rsidRPr="00A94DBB">
        <w:rPr>
          <w:rFonts w:ascii="Livvic Light" w:hAnsi="Livvic Light" w:cs="Calibri Light"/>
          <w:sz w:val="21"/>
          <w:szCs w:val="21"/>
        </w:rPr>
        <w:t>Si tratta del</w:t>
      </w:r>
      <w:r w:rsidR="00A94DBB">
        <w:rPr>
          <w:rFonts w:ascii="Livvic Light" w:hAnsi="Livvic Light" w:cs="Calibri Light"/>
          <w:b/>
          <w:bCs/>
          <w:sz w:val="21"/>
          <w:szCs w:val="21"/>
        </w:rPr>
        <w:t xml:space="preserve"> primo studio in Italia, e tra i primi in Europa</w:t>
      </w:r>
      <w:r w:rsidR="00A94DBB" w:rsidRPr="0005504B">
        <w:rPr>
          <w:rFonts w:ascii="Livvic Light" w:hAnsi="Livvic Light" w:cs="Calibri Light"/>
          <w:sz w:val="21"/>
          <w:szCs w:val="21"/>
        </w:rPr>
        <w:t>,</w:t>
      </w:r>
      <w:r w:rsidR="0005504B" w:rsidRPr="0005504B">
        <w:rPr>
          <w:rFonts w:ascii="Livvic Light" w:hAnsi="Livvic Light" w:cs="Calibri Light"/>
          <w:sz w:val="21"/>
          <w:szCs w:val="21"/>
        </w:rPr>
        <w:t xml:space="preserve"> effettuato</w:t>
      </w:r>
      <w:r w:rsidR="00A94DBB">
        <w:rPr>
          <w:rFonts w:ascii="Livvic Light" w:hAnsi="Livvic Light" w:cs="Calibri Light"/>
          <w:b/>
          <w:bCs/>
          <w:sz w:val="21"/>
          <w:szCs w:val="21"/>
        </w:rPr>
        <w:t xml:space="preserve"> </w:t>
      </w:r>
      <w:r w:rsidR="00A94DBB" w:rsidRPr="00A94DBB">
        <w:rPr>
          <w:rFonts w:ascii="Livvic Light" w:hAnsi="Livvic Light" w:cs="Calibri Light"/>
          <w:sz w:val="21"/>
          <w:szCs w:val="21"/>
        </w:rPr>
        <w:t>su trend di fragilità così protratti</w:t>
      </w:r>
      <w:r>
        <w:rPr>
          <w:rFonts w:ascii="Livvic Light" w:hAnsi="Livvic Light" w:cs="Calibri Light"/>
          <w:sz w:val="21"/>
          <w:szCs w:val="21"/>
        </w:rPr>
        <w:t xml:space="preserve"> e </w:t>
      </w:r>
      <w:r w:rsidR="00A94DBB" w:rsidRPr="00A94DBB">
        <w:rPr>
          <w:rFonts w:ascii="Livvic Light" w:hAnsi="Livvic Light" w:cs="Calibri Light"/>
          <w:sz w:val="21"/>
          <w:szCs w:val="21"/>
        </w:rPr>
        <w:t>in una popolazione tanto ampia.</w:t>
      </w:r>
    </w:p>
    <w:p w14:paraId="67BE7530" w14:textId="46540256" w:rsidR="00B25D35" w:rsidRDefault="004C5A8A" w:rsidP="004C5A8A">
      <w:pPr>
        <w:spacing w:after="120"/>
        <w:jc w:val="both"/>
        <w:rPr>
          <w:rFonts w:ascii="Livvic Light" w:hAnsi="Livvic Light" w:cs="Calibri Light"/>
          <w:sz w:val="21"/>
          <w:szCs w:val="21"/>
        </w:rPr>
      </w:pPr>
      <w:r>
        <w:rPr>
          <w:rFonts w:ascii="Livvic Light" w:hAnsi="Livvic Light" w:cs="Calibri Light"/>
          <w:sz w:val="21"/>
          <w:szCs w:val="21"/>
        </w:rPr>
        <w:t>L’indagine</w:t>
      </w:r>
      <w:r w:rsidRPr="00752594">
        <w:rPr>
          <w:rFonts w:ascii="Livvic Light" w:hAnsi="Livvic Light" w:cs="Calibri Light"/>
          <w:sz w:val="21"/>
          <w:szCs w:val="21"/>
        </w:rPr>
        <w:t xml:space="preserve">, curata </w:t>
      </w:r>
      <w:r w:rsidR="00BD4A81">
        <w:rPr>
          <w:rFonts w:ascii="Livvic Light" w:hAnsi="Livvic Light" w:cs="Calibri Light"/>
          <w:sz w:val="21"/>
          <w:szCs w:val="21"/>
        </w:rPr>
        <w:t>da</w:t>
      </w:r>
      <w:r w:rsidRPr="00752594">
        <w:rPr>
          <w:rFonts w:ascii="Livvic Light" w:hAnsi="Livvic Light" w:cs="Calibri Light"/>
          <w:sz w:val="21"/>
          <w:szCs w:val="21"/>
        </w:rPr>
        <w:t xml:space="preserve"> </w:t>
      </w:r>
      <w:r w:rsidRPr="001121B7">
        <w:rPr>
          <w:rFonts w:ascii="Livvic Light" w:hAnsi="Livvic Light" w:cs="Calibri Light"/>
          <w:b/>
          <w:bCs/>
          <w:sz w:val="21"/>
          <w:szCs w:val="21"/>
        </w:rPr>
        <w:t>Italia Longeva</w:t>
      </w:r>
      <w:r w:rsidRPr="00752594">
        <w:rPr>
          <w:rFonts w:ascii="Livvic Light" w:hAnsi="Livvic Light" w:cs="Calibri Light"/>
          <w:sz w:val="21"/>
          <w:szCs w:val="21"/>
        </w:rPr>
        <w:t xml:space="preserve"> in collaborazione con la </w:t>
      </w:r>
      <w:r w:rsidRPr="001121B7">
        <w:rPr>
          <w:rFonts w:ascii="Livvic Light" w:hAnsi="Livvic Light" w:cs="Calibri Light"/>
          <w:b/>
          <w:bCs/>
          <w:sz w:val="21"/>
          <w:szCs w:val="21"/>
        </w:rPr>
        <w:t>Società Italiana di Medicina Generale e delle Cure Primarie (SIMG)</w:t>
      </w:r>
      <w:r w:rsidR="00BD4A81">
        <w:rPr>
          <w:rFonts w:ascii="Livvic Light" w:hAnsi="Livvic Light" w:cs="Calibri Light"/>
          <w:sz w:val="21"/>
          <w:szCs w:val="21"/>
        </w:rPr>
        <w:t xml:space="preserve"> e la </w:t>
      </w:r>
      <w:r w:rsidR="00BD4A81" w:rsidRPr="00BD4A81">
        <w:rPr>
          <w:rFonts w:ascii="Livvic Light" w:hAnsi="Livvic Light" w:cs="Calibri Light"/>
          <w:b/>
          <w:bCs/>
          <w:sz w:val="21"/>
          <w:szCs w:val="21"/>
        </w:rPr>
        <w:t>Direzione Programmazione del Ministero della Salute</w:t>
      </w:r>
      <w:r w:rsidR="00BD4A81">
        <w:rPr>
          <w:rFonts w:ascii="Livvic Light" w:hAnsi="Livvic Light" w:cs="Calibri Light"/>
          <w:sz w:val="21"/>
          <w:szCs w:val="21"/>
        </w:rPr>
        <w:t>,</w:t>
      </w:r>
      <w:r>
        <w:rPr>
          <w:rFonts w:ascii="Livvic Light" w:hAnsi="Livvic Light" w:cs="Calibri Light"/>
          <w:sz w:val="21"/>
          <w:szCs w:val="21"/>
        </w:rPr>
        <w:t xml:space="preserve"> </w:t>
      </w:r>
      <w:r w:rsidRPr="00752594">
        <w:rPr>
          <w:rFonts w:ascii="Livvic Light" w:hAnsi="Livvic Light" w:cs="Calibri Light"/>
          <w:sz w:val="21"/>
          <w:szCs w:val="21"/>
        </w:rPr>
        <w:t>è stata presentata oggi al Ministero della Salute</w:t>
      </w:r>
      <w:r w:rsidR="00D8132D">
        <w:rPr>
          <w:rFonts w:ascii="Livvic Light" w:hAnsi="Livvic Light" w:cs="Calibri Light"/>
          <w:sz w:val="21"/>
          <w:szCs w:val="21"/>
        </w:rPr>
        <w:t xml:space="preserve"> nel corso</w:t>
      </w:r>
      <w:r w:rsidR="00B25D35">
        <w:rPr>
          <w:rFonts w:ascii="Livvic Light" w:hAnsi="Livvic Light" w:cs="Calibri Light"/>
          <w:sz w:val="21"/>
          <w:szCs w:val="21"/>
        </w:rPr>
        <w:t xml:space="preserve"> del</w:t>
      </w:r>
      <w:r>
        <w:rPr>
          <w:rFonts w:ascii="Livvic Light" w:hAnsi="Livvic Light" w:cs="Calibri Light"/>
          <w:sz w:val="21"/>
          <w:szCs w:val="21"/>
        </w:rPr>
        <w:t>l’</w:t>
      </w:r>
      <w:r w:rsidR="00B25D35">
        <w:rPr>
          <w:rFonts w:ascii="Livvic Light" w:hAnsi="Livvic Light" w:cs="Calibri Light"/>
          <w:sz w:val="21"/>
          <w:szCs w:val="21"/>
        </w:rPr>
        <w:t>ottava</w:t>
      </w:r>
      <w:r w:rsidRPr="00752594">
        <w:rPr>
          <w:rFonts w:ascii="Livvic Light" w:hAnsi="Livvic Light" w:cs="Calibri Light"/>
          <w:sz w:val="21"/>
          <w:szCs w:val="21"/>
        </w:rPr>
        <w:t xml:space="preserve"> edizione degli </w:t>
      </w:r>
      <w:r w:rsidRPr="00C9786B">
        <w:rPr>
          <w:rFonts w:ascii="Livvic Light" w:hAnsi="Livvic Light" w:cs="Calibri Light"/>
          <w:b/>
          <w:bCs/>
          <w:sz w:val="21"/>
          <w:szCs w:val="21"/>
        </w:rPr>
        <w:t>“Stati Generali dell’assistenza a lungo termine - Long-Term Care EIGHT”</w:t>
      </w:r>
      <w:r w:rsidRPr="00752594">
        <w:rPr>
          <w:rFonts w:ascii="Livvic Light" w:hAnsi="Livvic Light" w:cs="Calibri Light"/>
          <w:sz w:val="21"/>
          <w:szCs w:val="21"/>
        </w:rPr>
        <w:t>, l’appuntamento annuale di Italia Longeva che riunisce gli attori che, ai vari livelli, si occupano di programmare e gestire l’assistenza agli anziani.</w:t>
      </w:r>
      <w:r w:rsidR="00994C95">
        <w:rPr>
          <w:rFonts w:ascii="Livvic Light" w:hAnsi="Livvic Light" w:cs="Calibri Light"/>
          <w:sz w:val="21"/>
          <w:szCs w:val="21"/>
        </w:rPr>
        <w:t xml:space="preserve"> </w:t>
      </w:r>
      <w:r w:rsidR="00994C95" w:rsidRPr="00752594">
        <w:rPr>
          <w:rFonts w:ascii="Livvic Light" w:hAnsi="Livvic Light" w:cs="Calibri Light"/>
          <w:sz w:val="21"/>
          <w:szCs w:val="21"/>
        </w:rPr>
        <w:t>Al centro del confronto, l</w:t>
      </w:r>
      <w:r w:rsidR="009D1D6F">
        <w:rPr>
          <w:rFonts w:ascii="Livvic Light" w:hAnsi="Livvic Light" w:cs="Calibri Light"/>
          <w:sz w:val="21"/>
          <w:szCs w:val="21"/>
        </w:rPr>
        <w:t>o stato dell’arte e l</w:t>
      </w:r>
      <w:r w:rsidR="00994C95" w:rsidRPr="00752594">
        <w:rPr>
          <w:rFonts w:ascii="Livvic Light" w:hAnsi="Livvic Light" w:cs="Calibri Light"/>
          <w:sz w:val="21"/>
          <w:szCs w:val="21"/>
        </w:rPr>
        <w:t>e sfide in atto per la riorganizzazione, l’integrazione e la digitalizzazione della rete dei servizi territorial</w:t>
      </w:r>
      <w:r w:rsidR="009D1D6F">
        <w:rPr>
          <w:rFonts w:ascii="Livvic Light" w:hAnsi="Livvic Light" w:cs="Calibri Light"/>
          <w:sz w:val="21"/>
          <w:szCs w:val="21"/>
        </w:rPr>
        <w:t>i all’indomani della pandemia</w:t>
      </w:r>
      <w:r w:rsidR="00994C95" w:rsidRPr="00752594">
        <w:rPr>
          <w:rFonts w:ascii="Livvic Light" w:hAnsi="Livvic Light" w:cs="Calibri Light"/>
          <w:sz w:val="21"/>
          <w:szCs w:val="21"/>
        </w:rPr>
        <w:t xml:space="preserve">. Tra i </w:t>
      </w:r>
      <w:r w:rsidR="00D8132D">
        <w:rPr>
          <w:rFonts w:ascii="Livvic Light" w:hAnsi="Livvic Light" w:cs="Calibri Light"/>
          <w:sz w:val="21"/>
          <w:szCs w:val="21"/>
        </w:rPr>
        <w:t>focus anche</w:t>
      </w:r>
      <w:r w:rsidR="00994C95" w:rsidRPr="00752594">
        <w:rPr>
          <w:rFonts w:ascii="Livvic Light" w:hAnsi="Livvic Light" w:cs="Calibri Light"/>
          <w:sz w:val="21"/>
          <w:szCs w:val="21"/>
        </w:rPr>
        <w:t xml:space="preserve"> </w:t>
      </w:r>
      <w:r w:rsidR="00B25D35">
        <w:rPr>
          <w:rFonts w:ascii="Livvic Light" w:hAnsi="Livvic Light" w:cs="Calibri Light"/>
          <w:sz w:val="21"/>
          <w:szCs w:val="21"/>
        </w:rPr>
        <w:t>il ruolo dei</w:t>
      </w:r>
      <w:r w:rsidR="00103DFC">
        <w:rPr>
          <w:rFonts w:ascii="Livvic Light" w:hAnsi="Livvic Light" w:cs="Calibri Light"/>
          <w:sz w:val="21"/>
          <w:szCs w:val="21"/>
        </w:rPr>
        <w:t xml:space="preserve"> </w:t>
      </w:r>
      <w:r w:rsidR="00994C95" w:rsidRPr="00752594">
        <w:rPr>
          <w:rFonts w:ascii="Livvic Light" w:hAnsi="Livvic Light" w:cs="Calibri Light"/>
          <w:sz w:val="21"/>
          <w:szCs w:val="21"/>
        </w:rPr>
        <w:t xml:space="preserve">farmaci equivalenti </w:t>
      </w:r>
      <w:r w:rsidR="00B25D35">
        <w:rPr>
          <w:rFonts w:ascii="Livvic Light" w:hAnsi="Livvic Light" w:cs="Calibri Light"/>
          <w:sz w:val="21"/>
          <w:szCs w:val="21"/>
        </w:rPr>
        <w:t>nella long-term care</w:t>
      </w:r>
      <w:r w:rsidR="00994C95" w:rsidRPr="00752594">
        <w:rPr>
          <w:rFonts w:ascii="Livvic Light" w:hAnsi="Livvic Light" w:cs="Calibri Light"/>
          <w:sz w:val="21"/>
          <w:szCs w:val="21"/>
        </w:rPr>
        <w:t>,</w:t>
      </w:r>
      <w:r w:rsidR="009D1D6F">
        <w:rPr>
          <w:rFonts w:ascii="Livvic Light" w:hAnsi="Livvic Light" w:cs="Calibri Light"/>
          <w:sz w:val="21"/>
          <w:szCs w:val="21"/>
        </w:rPr>
        <w:t xml:space="preserve"> </w:t>
      </w:r>
      <w:r w:rsidR="00D8132D">
        <w:rPr>
          <w:rFonts w:ascii="Livvic Light" w:hAnsi="Livvic Light" w:cs="Calibri Light"/>
          <w:sz w:val="21"/>
          <w:szCs w:val="21"/>
        </w:rPr>
        <w:t>oggetto</w:t>
      </w:r>
      <w:r w:rsidR="00B25D35">
        <w:rPr>
          <w:rFonts w:ascii="Livvic Light" w:hAnsi="Livvic Light" w:cs="Calibri Light"/>
          <w:sz w:val="21"/>
          <w:szCs w:val="21"/>
        </w:rPr>
        <w:t xml:space="preserve"> </w:t>
      </w:r>
      <w:r w:rsidR="00D8132D">
        <w:rPr>
          <w:rFonts w:ascii="Livvic Light" w:hAnsi="Livvic Light" w:cs="Calibri Light"/>
          <w:sz w:val="21"/>
          <w:szCs w:val="21"/>
        </w:rPr>
        <w:t>d</w:t>
      </w:r>
      <w:r w:rsidR="00994C95" w:rsidRPr="00752594">
        <w:rPr>
          <w:rFonts w:ascii="Livvic Light" w:hAnsi="Livvic Light" w:cs="Calibri Light"/>
          <w:sz w:val="21"/>
          <w:szCs w:val="21"/>
        </w:rPr>
        <w:t>el</w:t>
      </w:r>
      <w:r w:rsidR="00D8132D">
        <w:rPr>
          <w:rFonts w:ascii="Livvic Light" w:hAnsi="Livvic Light" w:cs="Calibri Light"/>
          <w:sz w:val="21"/>
          <w:szCs w:val="21"/>
        </w:rPr>
        <w:t xml:space="preserve"> Paper</w:t>
      </w:r>
      <w:r w:rsidR="00994C95" w:rsidRPr="00752594">
        <w:rPr>
          <w:rFonts w:ascii="Livvic Light" w:hAnsi="Livvic Light" w:cs="Calibri Light"/>
          <w:sz w:val="21"/>
          <w:szCs w:val="21"/>
        </w:rPr>
        <w:t xml:space="preserve"> di Italia Longeva </w:t>
      </w:r>
      <w:r w:rsidR="009D1D6F">
        <w:rPr>
          <w:rFonts w:ascii="Livvic Light" w:hAnsi="Livvic Light" w:cs="Calibri Light"/>
          <w:sz w:val="21"/>
          <w:szCs w:val="21"/>
        </w:rPr>
        <w:t>“</w:t>
      </w:r>
      <w:r w:rsidR="009D1D6F" w:rsidRPr="009D1D6F">
        <w:rPr>
          <w:rFonts w:ascii="Livvic Light" w:hAnsi="Livvic Light" w:cs="Calibri Light"/>
          <w:b/>
          <w:bCs/>
          <w:sz w:val="21"/>
          <w:szCs w:val="21"/>
        </w:rPr>
        <w:t>Preferenze ed attitudine del paziente anziano rispetto all’uso del farmaco equivalente in Italia”</w:t>
      </w:r>
      <w:r w:rsidR="00103DFC" w:rsidRPr="00B25D35">
        <w:rPr>
          <w:rFonts w:ascii="Livvic Light" w:hAnsi="Livvic Light" w:cs="Calibri Light"/>
          <w:sz w:val="21"/>
          <w:szCs w:val="21"/>
        </w:rPr>
        <w:t xml:space="preserve">, che ha </w:t>
      </w:r>
      <w:r w:rsidR="00B25D35">
        <w:rPr>
          <w:rFonts w:ascii="Livvic Light" w:hAnsi="Livvic Light" w:cs="Calibri Light"/>
          <w:sz w:val="21"/>
          <w:szCs w:val="21"/>
        </w:rPr>
        <w:t xml:space="preserve">posto l’attenzione su un tema di grande rilevanza </w:t>
      </w:r>
      <w:r w:rsidR="00BD4A81">
        <w:rPr>
          <w:rFonts w:ascii="Livvic Light" w:hAnsi="Livvic Light" w:cs="Calibri Light"/>
          <w:sz w:val="21"/>
          <w:szCs w:val="21"/>
        </w:rPr>
        <w:t>nell’attuale contesto economico e socio-demografico,</w:t>
      </w:r>
      <w:r w:rsidR="00B25D35">
        <w:rPr>
          <w:rFonts w:ascii="Livvic Light" w:hAnsi="Livvic Light" w:cs="Calibri Light"/>
          <w:sz w:val="21"/>
          <w:szCs w:val="21"/>
        </w:rPr>
        <w:t xml:space="preserve"> anche nell’ottica di promuovere iniziative </w:t>
      </w:r>
      <w:r w:rsidR="00D8132D">
        <w:rPr>
          <w:rFonts w:ascii="Livvic Light" w:hAnsi="Livvic Light" w:cs="Calibri Light"/>
          <w:sz w:val="21"/>
          <w:szCs w:val="21"/>
        </w:rPr>
        <w:t>d</w:t>
      </w:r>
      <w:r w:rsidR="00B25D35">
        <w:rPr>
          <w:rFonts w:ascii="Livvic Light" w:hAnsi="Livvic Light" w:cs="Calibri Light"/>
          <w:sz w:val="21"/>
          <w:szCs w:val="21"/>
        </w:rPr>
        <w:t>i sensibilizzazione.</w:t>
      </w:r>
    </w:p>
    <w:p w14:paraId="19383DCE" w14:textId="24311825" w:rsidR="004866FD" w:rsidRPr="00CC7855" w:rsidRDefault="00CC7855" w:rsidP="004866FD">
      <w:pPr>
        <w:spacing w:after="120"/>
        <w:jc w:val="both"/>
        <w:rPr>
          <w:rFonts w:ascii="Livvic Light" w:hAnsi="Livvic Light" w:cs="Calibri Light"/>
          <w:i/>
          <w:iCs/>
          <w:sz w:val="21"/>
          <w:szCs w:val="21"/>
        </w:rPr>
      </w:pPr>
      <w:r>
        <w:rPr>
          <w:rFonts w:ascii="Livvic Light" w:hAnsi="Livvic Light" w:cs="Calibri Light"/>
          <w:i/>
          <w:iCs/>
          <w:sz w:val="21"/>
          <w:szCs w:val="21"/>
        </w:rPr>
        <w:t>“</w:t>
      </w:r>
      <w:r w:rsidR="00D8132D">
        <w:rPr>
          <w:rFonts w:ascii="Livvic Light" w:hAnsi="Livvic Light" w:cs="Calibri Light"/>
          <w:i/>
          <w:iCs/>
          <w:sz w:val="21"/>
          <w:szCs w:val="21"/>
        </w:rPr>
        <w:t>L’analisi</w:t>
      </w:r>
      <w:r>
        <w:rPr>
          <w:rFonts w:ascii="Livvic Light" w:hAnsi="Livvic Light" w:cs="Calibri Light"/>
          <w:i/>
          <w:iCs/>
          <w:sz w:val="21"/>
          <w:szCs w:val="21"/>
        </w:rPr>
        <w:t xml:space="preserve"> di Italia Longeva</w:t>
      </w:r>
      <w:r w:rsidR="00D8132D">
        <w:rPr>
          <w:rFonts w:ascii="Livvic Light" w:hAnsi="Livvic Light" w:cs="Calibri Light"/>
          <w:i/>
          <w:iCs/>
          <w:sz w:val="21"/>
          <w:szCs w:val="21"/>
        </w:rPr>
        <w:t xml:space="preserve"> sui trend di fragilità</w:t>
      </w:r>
      <w:r>
        <w:rPr>
          <w:rFonts w:ascii="Livvic Light" w:hAnsi="Livvic Light" w:cs="Calibri Light"/>
          <w:i/>
          <w:iCs/>
          <w:sz w:val="21"/>
          <w:szCs w:val="21"/>
        </w:rPr>
        <w:t>,</w:t>
      </w:r>
      <w:r w:rsidR="00392014">
        <w:rPr>
          <w:rFonts w:ascii="Livvic Light" w:hAnsi="Livvic Light" w:cs="Calibri Light"/>
          <w:i/>
          <w:iCs/>
          <w:sz w:val="21"/>
          <w:szCs w:val="21"/>
        </w:rPr>
        <w:t xml:space="preserve"> </w:t>
      </w:r>
      <w:r>
        <w:rPr>
          <w:rFonts w:ascii="Livvic Light" w:hAnsi="Livvic Light" w:cs="Calibri Light"/>
          <w:i/>
          <w:iCs/>
          <w:sz w:val="21"/>
          <w:szCs w:val="21"/>
        </w:rPr>
        <w:t>nat</w:t>
      </w:r>
      <w:r w:rsidR="00D8132D">
        <w:rPr>
          <w:rFonts w:ascii="Livvic Light" w:hAnsi="Livvic Light" w:cs="Calibri Light"/>
          <w:i/>
          <w:iCs/>
          <w:sz w:val="21"/>
          <w:szCs w:val="21"/>
        </w:rPr>
        <w:t xml:space="preserve">a </w:t>
      </w:r>
      <w:r w:rsidR="00392014">
        <w:rPr>
          <w:rFonts w:ascii="Livvic Light" w:hAnsi="Livvic Light" w:cs="Calibri Light"/>
          <w:i/>
          <w:iCs/>
          <w:sz w:val="21"/>
          <w:szCs w:val="21"/>
        </w:rPr>
        <w:t>d</w:t>
      </w:r>
      <w:r>
        <w:rPr>
          <w:rFonts w:ascii="Livvic Light" w:hAnsi="Livvic Light" w:cs="Calibri Light"/>
          <w:i/>
          <w:iCs/>
          <w:sz w:val="21"/>
          <w:szCs w:val="21"/>
        </w:rPr>
        <w:t>a</w:t>
      </w:r>
      <w:r w:rsidR="00392014">
        <w:rPr>
          <w:rFonts w:ascii="Livvic Light" w:hAnsi="Livvic Light" w:cs="Calibri Light"/>
          <w:i/>
          <w:iCs/>
          <w:sz w:val="21"/>
          <w:szCs w:val="21"/>
        </w:rPr>
        <w:t xml:space="preserve">lla </w:t>
      </w:r>
      <w:r>
        <w:rPr>
          <w:rFonts w:ascii="Livvic Light" w:hAnsi="Livvic Light" w:cs="Calibri Light"/>
          <w:i/>
          <w:iCs/>
          <w:sz w:val="21"/>
          <w:szCs w:val="21"/>
        </w:rPr>
        <w:t>collaborazione</w:t>
      </w:r>
      <w:r w:rsidR="00773850">
        <w:rPr>
          <w:rFonts w:ascii="Livvic Light" w:hAnsi="Livvic Light" w:cs="Calibri Light"/>
          <w:i/>
          <w:iCs/>
          <w:sz w:val="21"/>
          <w:szCs w:val="21"/>
        </w:rPr>
        <w:t xml:space="preserve"> </w:t>
      </w:r>
      <w:r w:rsidR="00392014">
        <w:rPr>
          <w:rFonts w:ascii="Livvic Light" w:hAnsi="Livvic Light" w:cs="Calibri Light"/>
          <w:i/>
          <w:iCs/>
          <w:sz w:val="21"/>
          <w:szCs w:val="21"/>
        </w:rPr>
        <w:t>tra geriatri e medici di medicina generale</w:t>
      </w:r>
      <w:r w:rsidR="00FE4ACA">
        <w:rPr>
          <w:rFonts w:ascii="Livvic Light" w:hAnsi="Livvic Light" w:cs="Calibri Light"/>
          <w:i/>
          <w:iCs/>
          <w:sz w:val="21"/>
          <w:szCs w:val="21"/>
        </w:rPr>
        <w:t>, mostra che</w:t>
      </w:r>
      <w:r w:rsidR="00392014">
        <w:rPr>
          <w:rFonts w:ascii="Livvic Light" w:hAnsi="Livvic Light" w:cs="Calibri Light"/>
          <w:i/>
          <w:iCs/>
          <w:sz w:val="21"/>
          <w:szCs w:val="21"/>
        </w:rPr>
        <w:t xml:space="preserve"> </w:t>
      </w:r>
      <w:r w:rsidR="00BD4A81">
        <w:rPr>
          <w:rFonts w:ascii="Livvic Light" w:hAnsi="Livvic Light" w:cs="Calibri Light"/>
          <w:i/>
          <w:iCs/>
          <w:sz w:val="21"/>
          <w:szCs w:val="21"/>
        </w:rPr>
        <w:t xml:space="preserve">il numero di adulti over-50 affetti da fragilità sta crescendo sensibilmente nel tempo e ha raggiunto tassi non irrilevanti. Questa osservazione ci </w:t>
      </w:r>
      <w:r w:rsidR="00773850">
        <w:rPr>
          <w:rFonts w:ascii="Livvic Light" w:hAnsi="Livvic Light" w:cs="Calibri Light"/>
          <w:i/>
          <w:iCs/>
          <w:sz w:val="21"/>
          <w:szCs w:val="21"/>
        </w:rPr>
        <w:t xml:space="preserve">esorta </w:t>
      </w:r>
      <w:r>
        <w:rPr>
          <w:rFonts w:ascii="Livvic Light" w:hAnsi="Livvic Light" w:cs="Calibri Light"/>
          <w:i/>
          <w:iCs/>
          <w:sz w:val="21"/>
          <w:szCs w:val="21"/>
        </w:rPr>
        <w:t xml:space="preserve">a mettere in campo </w:t>
      </w:r>
      <w:r w:rsidR="00773850">
        <w:rPr>
          <w:rFonts w:ascii="Livvic Light" w:hAnsi="Livvic Light" w:cs="Calibri Light"/>
          <w:i/>
          <w:iCs/>
          <w:sz w:val="21"/>
          <w:szCs w:val="21"/>
        </w:rPr>
        <w:t xml:space="preserve">strumenti </w:t>
      </w:r>
      <w:r w:rsidR="00791F72">
        <w:rPr>
          <w:rFonts w:ascii="Livvic Light" w:hAnsi="Livvic Light" w:cs="Calibri Light"/>
          <w:i/>
          <w:iCs/>
          <w:sz w:val="21"/>
          <w:szCs w:val="21"/>
        </w:rPr>
        <w:t>mirati all</w:t>
      </w:r>
      <w:r w:rsidR="00773850">
        <w:rPr>
          <w:rFonts w:ascii="Livvic Light" w:hAnsi="Livvic Light" w:cs="Calibri Light"/>
          <w:i/>
          <w:iCs/>
          <w:sz w:val="21"/>
          <w:szCs w:val="21"/>
        </w:rPr>
        <w:t>’identificazione precoce di questi individui all’interno della comunità</w:t>
      </w:r>
      <w:r w:rsidR="008A4AF7">
        <w:rPr>
          <w:rFonts w:ascii="Livvic Light" w:hAnsi="Livvic Light" w:cs="Calibri Light"/>
          <w:i/>
          <w:iCs/>
          <w:sz w:val="21"/>
          <w:szCs w:val="21"/>
        </w:rPr>
        <w:t xml:space="preserve">”, </w:t>
      </w:r>
      <w:r w:rsidR="008A4AF7">
        <w:rPr>
          <w:rFonts w:ascii="Livvic Light" w:hAnsi="Livvic Light" w:cs="Calibri Light"/>
          <w:sz w:val="21"/>
          <w:szCs w:val="21"/>
        </w:rPr>
        <w:t xml:space="preserve">commenta </w:t>
      </w:r>
      <w:r w:rsidR="008A4AF7" w:rsidRPr="00F120F8">
        <w:rPr>
          <w:rFonts w:ascii="Livvic Light" w:hAnsi="Livvic Light" w:cs="Calibri Light"/>
          <w:b/>
          <w:bCs/>
          <w:sz w:val="21"/>
          <w:szCs w:val="21"/>
        </w:rPr>
        <w:t>Roberto</w:t>
      </w:r>
      <w:r w:rsidR="008A4AF7">
        <w:rPr>
          <w:rFonts w:ascii="Livvic Light" w:hAnsi="Livvic Light" w:cs="Calibri Light"/>
          <w:sz w:val="21"/>
          <w:szCs w:val="21"/>
        </w:rPr>
        <w:t xml:space="preserve"> </w:t>
      </w:r>
      <w:r w:rsidR="008A4AF7" w:rsidRPr="00D25781">
        <w:rPr>
          <w:rFonts w:ascii="Livvic Light" w:hAnsi="Livvic Light" w:cs="Calibri Light"/>
          <w:b/>
          <w:bCs/>
          <w:sz w:val="21"/>
          <w:szCs w:val="21"/>
        </w:rPr>
        <w:t>Bernabei</w:t>
      </w:r>
      <w:r w:rsidR="008A4AF7">
        <w:rPr>
          <w:rFonts w:ascii="Livvic Light" w:hAnsi="Livvic Light" w:cs="Calibri Light"/>
          <w:i/>
          <w:iCs/>
          <w:sz w:val="21"/>
          <w:szCs w:val="21"/>
        </w:rPr>
        <w:t xml:space="preserve">, </w:t>
      </w:r>
      <w:r w:rsidR="008A4AF7">
        <w:rPr>
          <w:rFonts w:ascii="Livvic Light" w:hAnsi="Livvic Light" w:cs="Calibri Light"/>
          <w:sz w:val="21"/>
          <w:szCs w:val="21"/>
        </w:rPr>
        <w:t>presidente di Italia</w:t>
      </w:r>
      <w:r>
        <w:rPr>
          <w:rFonts w:ascii="Livvic Light" w:hAnsi="Livvic Light" w:cs="Calibri Light"/>
          <w:sz w:val="21"/>
          <w:szCs w:val="21"/>
        </w:rPr>
        <w:t xml:space="preserve"> Longeva</w:t>
      </w:r>
      <w:r w:rsidR="00773850">
        <w:rPr>
          <w:rFonts w:ascii="Livvic Light" w:hAnsi="Livvic Light" w:cs="Calibri Light"/>
          <w:sz w:val="21"/>
          <w:szCs w:val="21"/>
        </w:rPr>
        <w:t>.</w:t>
      </w:r>
      <w:r w:rsidR="008A4AF7">
        <w:rPr>
          <w:rFonts w:ascii="Livvic Light" w:hAnsi="Livvic Light" w:cs="Calibri Light"/>
          <w:sz w:val="21"/>
          <w:szCs w:val="21"/>
        </w:rPr>
        <w:t xml:space="preserve"> </w:t>
      </w:r>
      <w:r w:rsidR="008A4AF7">
        <w:rPr>
          <w:rFonts w:ascii="Livvic Light" w:hAnsi="Livvic Light" w:cs="Calibri Light"/>
          <w:i/>
          <w:iCs/>
          <w:sz w:val="21"/>
          <w:szCs w:val="21"/>
        </w:rPr>
        <w:t xml:space="preserve">“Sapere come evolve nel tempo la condizione di fragilità della popolazione, da cosa è influenzata e in quali aree del Paese si concentra, è un fattore chiave per una buona </w:t>
      </w:r>
      <w:r w:rsidR="008A4AF7" w:rsidRPr="00CC7855">
        <w:rPr>
          <w:rFonts w:ascii="Livvic Light" w:hAnsi="Livvic Light" w:cs="Calibri Light"/>
          <w:i/>
          <w:iCs/>
          <w:sz w:val="21"/>
          <w:szCs w:val="21"/>
        </w:rPr>
        <w:t xml:space="preserve">programmazione </w:t>
      </w:r>
      <w:r w:rsidR="00791F72">
        <w:rPr>
          <w:rFonts w:ascii="Livvic Light" w:hAnsi="Livvic Light" w:cs="Calibri Light"/>
          <w:i/>
          <w:iCs/>
          <w:sz w:val="21"/>
          <w:szCs w:val="21"/>
        </w:rPr>
        <w:t>socio</w:t>
      </w:r>
      <w:r w:rsidR="008A4AF7" w:rsidRPr="00CC7855">
        <w:rPr>
          <w:rFonts w:ascii="Livvic Light" w:hAnsi="Livvic Light" w:cs="Calibri Light"/>
          <w:i/>
          <w:iCs/>
          <w:sz w:val="21"/>
          <w:szCs w:val="21"/>
        </w:rPr>
        <w:t>sanitaria</w:t>
      </w:r>
      <w:r w:rsidRPr="00CC7855">
        <w:rPr>
          <w:rFonts w:ascii="Livvic Light" w:hAnsi="Livvic Light" w:cs="Calibri Light"/>
          <w:i/>
          <w:iCs/>
          <w:sz w:val="21"/>
          <w:szCs w:val="21"/>
        </w:rPr>
        <w:t>, sia a livello nazionale che regionale,</w:t>
      </w:r>
      <w:r w:rsidR="008A4AF7" w:rsidRPr="00CC7855">
        <w:rPr>
          <w:rFonts w:ascii="Livvic Light" w:hAnsi="Livvic Light" w:cs="Calibri Light"/>
          <w:i/>
          <w:iCs/>
          <w:sz w:val="21"/>
          <w:szCs w:val="21"/>
        </w:rPr>
        <w:t xml:space="preserve"> perché permette di </w:t>
      </w:r>
      <w:r w:rsidR="00392014" w:rsidRPr="00CC7855">
        <w:rPr>
          <w:rFonts w:ascii="Livvic Light" w:hAnsi="Livvic Light" w:cs="Calibri Light"/>
          <w:i/>
          <w:iCs/>
          <w:sz w:val="21"/>
          <w:szCs w:val="21"/>
        </w:rPr>
        <w:t xml:space="preserve">anticipare </w:t>
      </w:r>
      <w:r w:rsidR="004D6AED">
        <w:rPr>
          <w:rFonts w:ascii="Livvic Light" w:hAnsi="Livvic Light" w:cs="Calibri Light"/>
          <w:i/>
          <w:iCs/>
          <w:sz w:val="21"/>
          <w:szCs w:val="21"/>
        </w:rPr>
        <w:t>le esigenze</w:t>
      </w:r>
      <w:r w:rsidR="00392014" w:rsidRPr="00CC7855">
        <w:rPr>
          <w:rFonts w:ascii="Livvic Light" w:hAnsi="Livvic Light" w:cs="Calibri Light"/>
          <w:i/>
          <w:iCs/>
          <w:sz w:val="21"/>
          <w:szCs w:val="21"/>
        </w:rPr>
        <w:t xml:space="preserve"> assistenziali delle fasce più vulnerabili e di organizzare un’adeguata offerta di assistenza </w:t>
      </w:r>
      <w:r w:rsidR="004866FD" w:rsidRPr="00CC7855">
        <w:rPr>
          <w:rFonts w:ascii="Livvic Light" w:hAnsi="Livvic Light" w:cs="Calibri Light"/>
          <w:i/>
          <w:iCs/>
          <w:sz w:val="21"/>
          <w:szCs w:val="21"/>
        </w:rPr>
        <w:t xml:space="preserve">territoriale </w:t>
      </w:r>
      <w:r w:rsidR="00392014" w:rsidRPr="00CC7855">
        <w:rPr>
          <w:rFonts w:ascii="Livvic Light" w:hAnsi="Livvic Light" w:cs="Calibri Light"/>
          <w:i/>
          <w:iCs/>
          <w:sz w:val="21"/>
          <w:szCs w:val="21"/>
        </w:rPr>
        <w:t>a lungo termine</w:t>
      </w:r>
      <w:r w:rsidR="004866FD" w:rsidRPr="00CC7855">
        <w:rPr>
          <w:rFonts w:ascii="Livvic Light" w:hAnsi="Livvic Light" w:cs="Calibri Light"/>
          <w:i/>
          <w:iCs/>
          <w:sz w:val="21"/>
          <w:szCs w:val="21"/>
        </w:rPr>
        <w:t>,</w:t>
      </w:r>
      <w:r w:rsidRPr="00CC7855">
        <w:rPr>
          <w:rFonts w:ascii="Livvic Light" w:hAnsi="Livvic Light" w:cs="Calibri Light"/>
          <w:i/>
          <w:iCs/>
          <w:sz w:val="21"/>
          <w:szCs w:val="21"/>
        </w:rPr>
        <w:t xml:space="preserve"> facendo sì che l’anziano venga preso in carico nel posto migliore a seconda del grado di complessità dei suoi bisogn</w:t>
      </w:r>
      <w:r w:rsidR="00D8132D">
        <w:rPr>
          <w:rFonts w:ascii="Livvic Light" w:hAnsi="Livvic Light" w:cs="Calibri Light"/>
          <w:i/>
          <w:iCs/>
          <w:sz w:val="21"/>
          <w:szCs w:val="21"/>
        </w:rPr>
        <w:t>i</w:t>
      </w:r>
      <w:r w:rsidR="009D1D6F">
        <w:rPr>
          <w:rFonts w:ascii="Livvic Light" w:hAnsi="Livvic Light" w:cs="Calibri Light"/>
          <w:i/>
          <w:iCs/>
          <w:sz w:val="21"/>
          <w:szCs w:val="21"/>
        </w:rPr>
        <w:t>”</w:t>
      </w:r>
      <w:r w:rsidR="00D8132D">
        <w:rPr>
          <w:rFonts w:ascii="Livvic Light" w:hAnsi="Livvic Light" w:cs="Calibri Light"/>
          <w:i/>
          <w:iCs/>
          <w:sz w:val="21"/>
          <w:szCs w:val="21"/>
        </w:rPr>
        <w:t>.</w:t>
      </w:r>
    </w:p>
    <w:p w14:paraId="43EF0176" w14:textId="047640CB" w:rsidR="00FE4ACA" w:rsidRPr="0011201E" w:rsidRDefault="00FE4ACA" w:rsidP="00FE4ACA">
      <w:pPr>
        <w:spacing w:after="120"/>
        <w:jc w:val="both"/>
        <w:rPr>
          <w:rFonts w:ascii="Livvic Light" w:hAnsi="Livvic Light" w:cs="Calibri Light"/>
          <w:sz w:val="21"/>
          <w:szCs w:val="21"/>
        </w:rPr>
      </w:pPr>
      <w:r>
        <w:rPr>
          <w:rFonts w:ascii="Livvic Light" w:hAnsi="Livvic Light" w:cs="Calibri Light"/>
          <w:sz w:val="21"/>
          <w:szCs w:val="21"/>
        </w:rPr>
        <w:lastRenderedPageBreak/>
        <w:t xml:space="preserve">Per quanto riguarda la mappa della fragilità nelle diverse regioni d’Italia, l’analisi </w:t>
      </w:r>
      <w:r w:rsidR="00BD4A81">
        <w:rPr>
          <w:rFonts w:ascii="Livvic Light" w:hAnsi="Livvic Light" w:cs="Calibri Light"/>
          <w:sz w:val="21"/>
          <w:szCs w:val="21"/>
        </w:rPr>
        <w:t xml:space="preserve">elaborata da </w:t>
      </w:r>
      <w:r w:rsidR="00BD4A81" w:rsidRPr="001121B7">
        <w:rPr>
          <w:rFonts w:ascii="Livvic Light" w:hAnsi="Livvic Light" w:cs="Calibri Light"/>
          <w:b/>
          <w:bCs/>
          <w:sz w:val="21"/>
          <w:szCs w:val="21"/>
        </w:rPr>
        <w:t>Davide Vetrano</w:t>
      </w:r>
      <w:r w:rsidR="00BD4A81" w:rsidRPr="00752594">
        <w:rPr>
          <w:rFonts w:ascii="Livvic Light" w:hAnsi="Livvic Light" w:cs="Calibri Light"/>
          <w:sz w:val="21"/>
          <w:szCs w:val="21"/>
        </w:rPr>
        <w:t xml:space="preserve">, </w:t>
      </w:r>
      <w:r w:rsidR="00BD4A81">
        <w:rPr>
          <w:rFonts w:ascii="Livvic Light" w:hAnsi="Livvic Light" w:cs="Calibri Light"/>
          <w:sz w:val="21"/>
          <w:szCs w:val="21"/>
        </w:rPr>
        <w:t xml:space="preserve">professore associato di </w:t>
      </w:r>
      <w:r w:rsidR="00BD4A81" w:rsidRPr="00752594">
        <w:rPr>
          <w:rFonts w:ascii="Livvic Light" w:hAnsi="Livvic Light" w:cs="Calibri Light"/>
          <w:sz w:val="21"/>
          <w:szCs w:val="21"/>
        </w:rPr>
        <w:t>geriatr</w:t>
      </w:r>
      <w:r w:rsidR="00BD4A81">
        <w:rPr>
          <w:rFonts w:ascii="Livvic Light" w:hAnsi="Livvic Light" w:cs="Calibri Light"/>
          <w:sz w:val="21"/>
          <w:szCs w:val="21"/>
        </w:rPr>
        <w:t>ia</w:t>
      </w:r>
      <w:r w:rsidR="00BD4A81" w:rsidRPr="00752594">
        <w:rPr>
          <w:rFonts w:ascii="Livvic Light" w:hAnsi="Livvic Light" w:cs="Calibri Light"/>
          <w:sz w:val="21"/>
          <w:szCs w:val="21"/>
        </w:rPr>
        <w:t xml:space="preserve"> al Karolinska Institutet di Stoccolma,</w:t>
      </w:r>
      <w:r w:rsidR="00BD4A81">
        <w:rPr>
          <w:rFonts w:ascii="Livvic Light" w:hAnsi="Livvic Light" w:cs="Calibri Light"/>
          <w:sz w:val="21"/>
          <w:szCs w:val="21"/>
        </w:rPr>
        <w:t xml:space="preserve"> </w:t>
      </w:r>
      <w:r>
        <w:rPr>
          <w:rFonts w:ascii="Livvic Light" w:hAnsi="Livvic Light" w:cs="Calibri Light"/>
          <w:sz w:val="21"/>
          <w:szCs w:val="21"/>
        </w:rPr>
        <w:t xml:space="preserve">evidenzia, nel periodo 2011-2021, un </w:t>
      </w:r>
      <w:r w:rsidRPr="00453881">
        <w:rPr>
          <w:rFonts w:ascii="Livvic Light" w:hAnsi="Livvic Light" w:cs="Calibri Light"/>
          <w:b/>
          <w:bCs/>
          <w:sz w:val="21"/>
          <w:szCs w:val="21"/>
        </w:rPr>
        <w:t>aumento generale della prevalenza di fragilità moderata-severa</w:t>
      </w:r>
      <w:r>
        <w:rPr>
          <w:rFonts w:ascii="Livvic Light" w:hAnsi="Livvic Light" w:cs="Calibri Light"/>
          <w:sz w:val="21"/>
          <w:szCs w:val="21"/>
        </w:rPr>
        <w:t xml:space="preserve">, che segue un gradiente via via crescente da Nord a Sud: la </w:t>
      </w:r>
      <w:r w:rsidRPr="00664CAC">
        <w:rPr>
          <w:rFonts w:ascii="Livvic Light" w:hAnsi="Livvic Light" w:cs="Calibri Light"/>
          <w:b/>
          <w:bCs/>
          <w:sz w:val="21"/>
          <w:szCs w:val="21"/>
        </w:rPr>
        <w:t>Campania</w:t>
      </w:r>
      <w:r>
        <w:rPr>
          <w:rFonts w:ascii="Livvic Light" w:hAnsi="Livvic Light" w:cs="Calibri Light"/>
          <w:sz w:val="21"/>
          <w:szCs w:val="21"/>
        </w:rPr>
        <w:t xml:space="preserve"> è la regione con più alta prevalenza di fragilità (in media del </w:t>
      </w:r>
      <w:r w:rsidRPr="00664CAC">
        <w:rPr>
          <w:rFonts w:ascii="Livvic Light" w:hAnsi="Livvic Light" w:cs="Calibri Light"/>
          <w:b/>
          <w:bCs/>
          <w:sz w:val="21"/>
          <w:szCs w:val="21"/>
        </w:rPr>
        <w:t>15,3%</w:t>
      </w:r>
      <w:r>
        <w:rPr>
          <w:rFonts w:ascii="Livvic Light" w:hAnsi="Livvic Light" w:cs="Calibri Light"/>
          <w:sz w:val="21"/>
          <w:szCs w:val="21"/>
        </w:rPr>
        <w:t>), seguita da</w:t>
      </w:r>
      <w:r w:rsidRPr="00664CAC">
        <w:rPr>
          <w:rFonts w:ascii="Livvic Light" w:hAnsi="Livvic Light" w:cs="Calibri Light"/>
          <w:b/>
          <w:bCs/>
          <w:sz w:val="21"/>
          <w:szCs w:val="21"/>
        </w:rPr>
        <w:t xml:space="preserve"> Sicilia </w:t>
      </w:r>
      <w:r>
        <w:rPr>
          <w:rFonts w:ascii="Livvic Light" w:hAnsi="Livvic Light" w:cs="Calibri Light"/>
          <w:sz w:val="21"/>
          <w:szCs w:val="21"/>
        </w:rPr>
        <w:t xml:space="preserve">(13,9%), </w:t>
      </w:r>
      <w:r w:rsidRPr="00664CAC">
        <w:rPr>
          <w:rFonts w:ascii="Livvic Light" w:hAnsi="Livvic Light" w:cs="Calibri Light"/>
          <w:b/>
          <w:bCs/>
          <w:sz w:val="21"/>
          <w:szCs w:val="21"/>
        </w:rPr>
        <w:t>Puglia</w:t>
      </w:r>
      <w:r>
        <w:rPr>
          <w:rFonts w:ascii="Livvic Light" w:hAnsi="Livvic Light" w:cs="Calibri Light"/>
          <w:sz w:val="21"/>
          <w:szCs w:val="21"/>
        </w:rPr>
        <w:t xml:space="preserve"> (12,9%), </w:t>
      </w:r>
      <w:r w:rsidRPr="00664CAC">
        <w:rPr>
          <w:rFonts w:ascii="Livvic Light" w:hAnsi="Livvic Light" w:cs="Calibri Light"/>
          <w:b/>
          <w:bCs/>
          <w:sz w:val="21"/>
          <w:szCs w:val="21"/>
        </w:rPr>
        <w:t>Calabria</w:t>
      </w:r>
      <w:r>
        <w:rPr>
          <w:rFonts w:ascii="Livvic Light" w:hAnsi="Livvic Light" w:cs="Calibri Light"/>
          <w:sz w:val="21"/>
          <w:szCs w:val="21"/>
        </w:rPr>
        <w:t xml:space="preserve"> (12,6%) e </w:t>
      </w:r>
      <w:r w:rsidRPr="00664CAC">
        <w:rPr>
          <w:rFonts w:ascii="Livvic Light" w:hAnsi="Livvic Light" w:cs="Calibri Light"/>
          <w:b/>
          <w:bCs/>
          <w:sz w:val="21"/>
          <w:szCs w:val="21"/>
        </w:rPr>
        <w:t>Umbria</w:t>
      </w:r>
      <w:r>
        <w:rPr>
          <w:rFonts w:ascii="Livvic Light" w:hAnsi="Livvic Light" w:cs="Calibri Light"/>
          <w:sz w:val="21"/>
          <w:szCs w:val="21"/>
        </w:rPr>
        <w:t xml:space="preserve"> (12,3%). Al contrario, dati di prevalenza più bassi si registrano in </w:t>
      </w:r>
      <w:r w:rsidRPr="00880F43">
        <w:rPr>
          <w:rFonts w:ascii="Livvic Light" w:hAnsi="Livvic Light" w:cs="Calibri Light"/>
          <w:b/>
          <w:bCs/>
          <w:sz w:val="21"/>
          <w:szCs w:val="21"/>
        </w:rPr>
        <w:t>Valle D’Aosta</w:t>
      </w:r>
      <w:r>
        <w:rPr>
          <w:rFonts w:ascii="Livvic Light" w:hAnsi="Livvic Light" w:cs="Calibri Light"/>
          <w:b/>
          <w:bCs/>
          <w:sz w:val="21"/>
          <w:szCs w:val="21"/>
        </w:rPr>
        <w:t xml:space="preserve"> </w:t>
      </w:r>
      <w:r w:rsidRPr="00880F43">
        <w:rPr>
          <w:rFonts w:ascii="Livvic Light" w:hAnsi="Livvic Light" w:cs="Calibri Light"/>
          <w:sz w:val="21"/>
          <w:szCs w:val="21"/>
        </w:rPr>
        <w:t>(7%)</w:t>
      </w:r>
      <w:r>
        <w:rPr>
          <w:rFonts w:ascii="Livvic Light" w:hAnsi="Livvic Light" w:cs="Calibri Light"/>
          <w:sz w:val="21"/>
          <w:szCs w:val="21"/>
        </w:rPr>
        <w:t xml:space="preserve"> e </w:t>
      </w:r>
      <w:r w:rsidRPr="00880F43">
        <w:rPr>
          <w:rFonts w:ascii="Livvic Light" w:hAnsi="Livvic Light" w:cs="Calibri Light"/>
          <w:b/>
          <w:bCs/>
          <w:sz w:val="21"/>
          <w:szCs w:val="21"/>
        </w:rPr>
        <w:t>Piemonte</w:t>
      </w:r>
      <w:r>
        <w:rPr>
          <w:rFonts w:ascii="Livvic Light" w:hAnsi="Livvic Light" w:cs="Calibri Light"/>
          <w:b/>
          <w:bCs/>
          <w:sz w:val="21"/>
          <w:szCs w:val="21"/>
        </w:rPr>
        <w:t xml:space="preserve"> </w:t>
      </w:r>
      <w:r>
        <w:rPr>
          <w:rFonts w:ascii="Livvic Light" w:hAnsi="Livvic Light" w:cs="Calibri Light"/>
          <w:sz w:val="21"/>
          <w:szCs w:val="21"/>
        </w:rPr>
        <w:t xml:space="preserve">(7,8%). </w:t>
      </w:r>
    </w:p>
    <w:p w14:paraId="5BC5525A" w14:textId="6101E222" w:rsidR="00DB5CFD" w:rsidRDefault="00FE4ACA" w:rsidP="00D8132D">
      <w:pPr>
        <w:spacing w:after="120"/>
        <w:jc w:val="both"/>
        <w:rPr>
          <w:rFonts w:ascii="Livvic Light" w:hAnsi="Livvic Light" w:cs="Calibri Light"/>
          <w:sz w:val="21"/>
          <w:szCs w:val="21"/>
        </w:rPr>
      </w:pPr>
      <w:r>
        <w:rPr>
          <w:rFonts w:ascii="Livvic Light" w:hAnsi="Livvic Light" w:cs="Calibri Light"/>
          <w:sz w:val="21"/>
          <w:szCs w:val="21"/>
        </w:rPr>
        <w:t xml:space="preserve">Poiché </w:t>
      </w:r>
      <w:r w:rsidR="00BD4A81">
        <w:rPr>
          <w:rFonts w:ascii="Livvic Light" w:hAnsi="Livvic Light" w:cs="Calibri Light"/>
          <w:sz w:val="21"/>
          <w:szCs w:val="21"/>
        </w:rPr>
        <w:t xml:space="preserve">è proprio dalla </w:t>
      </w:r>
      <w:r w:rsidRPr="00FC7536">
        <w:rPr>
          <w:rFonts w:ascii="Livvic Light" w:hAnsi="Livvic Light" w:cs="Calibri Light"/>
          <w:sz w:val="21"/>
          <w:szCs w:val="21"/>
        </w:rPr>
        <w:t xml:space="preserve">presenza di fragilità severa </w:t>
      </w:r>
      <w:r w:rsidR="00DB5CFD">
        <w:rPr>
          <w:rFonts w:ascii="Livvic Light" w:hAnsi="Livvic Light" w:cs="Calibri Light"/>
          <w:sz w:val="21"/>
          <w:szCs w:val="21"/>
        </w:rPr>
        <w:t xml:space="preserve">che presumibilmente scaturisce </w:t>
      </w:r>
      <w:r w:rsidRPr="00FC7536">
        <w:rPr>
          <w:rFonts w:ascii="Livvic Light" w:hAnsi="Livvic Light" w:cs="Calibri Light"/>
          <w:sz w:val="21"/>
          <w:szCs w:val="21"/>
        </w:rPr>
        <w:t>il bisogno di cure domiciliari o residenziali,</w:t>
      </w:r>
      <w:r w:rsidRPr="00752594">
        <w:rPr>
          <w:rFonts w:ascii="Livvic Light" w:hAnsi="Livvic Light" w:cs="Calibri Light"/>
          <w:sz w:val="21"/>
          <w:szCs w:val="21"/>
        </w:rPr>
        <w:t xml:space="preserve"> l’indagine di Italia Longeva ha analizzato anche il rapporto tra il </w:t>
      </w:r>
      <w:r w:rsidRPr="00FC7536">
        <w:rPr>
          <w:rFonts w:ascii="Livvic Light" w:hAnsi="Livvic Light" w:cs="Calibri Light"/>
          <w:b/>
          <w:bCs/>
          <w:sz w:val="21"/>
          <w:szCs w:val="21"/>
        </w:rPr>
        <w:t>tasso di fragilità negli over-65</w:t>
      </w:r>
      <w:r w:rsidRPr="00752594">
        <w:rPr>
          <w:rFonts w:ascii="Livvic Light" w:hAnsi="Livvic Light" w:cs="Calibri Light"/>
          <w:sz w:val="21"/>
          <w:szCs w:val="21"/>
        </w:rPr>
        <w:t xml:space="preserve">, l’offerta regionale di </w:t>
      </w:r>
      <w:r w:rsidRPr="00FC7536">
        <w:rPr>
          <w:rFonts w:ascii="Livvic Light" w:hAnsi="Livvic Light" w:cs="Calibri Light"/>
          <w:b/>
          <w:bCs/>
          <w:sz w:val="21"/>
          <w:szCs w:val="21"/>
        </w:rPr>
        <w:t>posti letto nelle residenze socioassistenziali (RSA)</w:t>
      </w:r>
      <w:r w:rsidRPr="00752594">
        <w:rPr>
          <w:rFonts w:ascii="Livvic Light" w:hAnsi="Livvic Light" w:cs="Calibri Light"/>
          <w:sz w:val="21"/>
          <w:szCs w:val="21"/>
        </w:rPr>
        <w:t xml:space="preserve"> e i </w:t>
      </w:r>
      <w:r w:rsidRPr="00FC7536">
        <w:rPr>
          <w:rFonts w:ascii="Livvic Light" w:hAnsi="Livvic Light" w:cs="Calibri Light"/>
          <w:b/>
          <w:bCs/>
          <w:sz w:val="21"/>
          <w:szCs w:val="21"/>
        </w:rPr>
        <w:t>servizi di assistenza domiciliare (ADI)</w:t>
      </w:r>
      <w:r>
        <w:rPr>
          <w:rFonts w:ascii="Livvic Light" w:hAnsi="Livvic Light" w:cs="Calibri Light"/>
          <w:b/>
          <w:bCs/>
          <w:sz w:val="21"/>
          <w:szCs w:val="21"/>
        </w:rPr>
        <w:t xml:space="preserve">. </w:t>
      </w:r>
      <w:r w:rsidRPr="00FC7536">
        <w:rPr>
          <w:rFonts w:ascii="Livvic Light" w:hAnsi="Livvic Light" w:cs="Calibri Light"/>
          <w:sz w:val="21"/>
          <w:szCs w:val="21"/>
        </w:rPr>
        <w:t xml:space="preserve">Il </w:t>
      </w:r>
      <w:r w:rsidRPr="00752594">
        <w:rPr>
          <w:rFonts w:ascii="Livvic Light" w:hAnsi="Livvic Light" w:cs="Calibri Light"/>
          <w:sz w:val="21"/>
          <w:szCs w:val="21"/>
        </w:rPr>
        <w:t>quadro che emerge è ancora una volta eterogeneo lungo la penisola:</w:t>
      </w:r>
      <w:r>
        <w:rPr>
          <w:rFonts w:ascii="Livvic Light" w:hAnsi="Livvic Light" w:cs="Calibri Light"/>
          <w:sz w:val="21"/>
          <w:szCs w:val="21"/>
        </w:rPr>
        <w:t xml:space="preserve"> sono le </w:t>
      </w:r>
      <w:r w:rsidRPr="00B97827">
        <w:rPr>
          <w:rFonts w:ascii="Livvic Light" w:hAnsi="Livvic Light" w:cs="Calibri Light"/>
          <w:b/>
          <w:bCs/>
          <w:sz w:val="21"/>
          <w:szCs w:val="21"/>
        </w:rPr>
        <w:t>regioni del Nord</w:t>
      </w:r>
      <w:r>
        <w:rPr>
          <w:rFonts w:ascii="Livvic Light" w:hAnsi="Livvic Light" w:cs="Calibri Light"/>
          <w:sz w:val="21"/>
          <w:szCs w:val="21"/>
        </w:rPr>
        <w:t xml:space="preserve"> (</w:t>
      </w:r>
      <w:r w:rsidRPr="00752594">
        <w:rPr>
          <w:rFonts w:ascii="Livvic Light" w:hAnsi="Livvic Light" w:cs="Calibri Light"/>
          <w:sz w:val="21"/>
          <w:szCs w:val="21"/>
        </w:rPr>
        <w:t xml:space="preserve">Piemonte, Liguria, </w:t>
      </w:r>
      <w:r>
        <w:rPr>
          <w:rFonts w:ascii="Livvic Light" w:hAnsi="Livvic Light" w:cs="Calibri Light"/>
          <w:sz w:val="21"/>
          <w:szCs w:val="21"/>
        </w:rPr>
        <w:t xml:space="preserve">Lombardia, </w:t>
      </w:r>
      <w:r w:rsidRPr="00752594">
        <w:rPr>
          <w:rFonts w:ascii="Livvic Light" w:hAnsi="Livvic Light" w:cs="Calibri Light"/>
          <w:sz w:val="21"/>
          <w:szCs w:val="21"/>
        </w:rPr>
        <w:t>Veneto, Friuli</w:t>
      </w:r>
      <w:r>
        <w:rPr>
          <w:rFonts w:ascii="Livvic Light" w:hAnsi="Livvic Light" w:cs="Calibri Light"/>
          <w:sz w:val="21"/>
          <w:szCs w:val="21"/>
        </w:rPr>
        <w:t>-</w:t>
      </w:r>
      <w:r w:rsidRPr="00752594">
        <w:rPr>
          <w:rFonts w:ascii="Livvic Light" w:hAnsi="Livvic Light" w:cs="Calibri Light"/>
          <w:sz w:val="21"/>
          <w:szCs w:val="21"/>
        </w:rPr>
        <w:t>Venezia Giulia</w:t>
      </w:r>
      <w:r>
        <w:rPr>
          <w:rFonts w:ascii="Livvic Light" w:hAnsi="Livvic Light" w:cs="Calibri Light"/>
          <w:sz w:val="21"/>
          <w:szCs w:val="21"/>
        </w:rPr>
        <w:t xml:space="preserve"> e Trentino Alto Adige) insieme a </w:t>
      </w:r>
      <w:r w:rsidRPr="00B97827">
        <w:rPr>
          <w:rFonts w:ascii="Livvic Light" w:hAnsi="Livvic Light" w:cs="Calibri Light"/>
          <w:b/>
          <w:bCs/>
          <w:sz w:val="21"/>
          <w:szCs w:val="21"/>
        </w:rPr>
        <w:t>Marche e Toscana</w:t>
      </w:r>
      <w:r w:rsidRPr="00752594">
        <w:rPr>
          <w:rFonts w:ascii="Livvic Light" w:hAnsi="Livvic Light" w:cs="Calibri Light"/>
          <w:sz w:val="21"/>
          <w:szCs w:val="21"/>
        </w:rPr>
        <w:t xml:space="preserve"> </w:t>
      </w:r>
      <w:r>
        <w:rPr>
          <w:rFonts w:ascii="Livvic Light" w:hAnsi="Livvic Light" w:cs="Calibri Light"/>
          <w:sz w:val="21"/>
          <w:szCs w:val="21"/>
        </w:rPr>
        <w:t xml:space="preserve">ad </w:t>
      </w:r>
      <w:r w:rsidRPr="00752594">
        <w:rPr>
          <w:rFonts w:ascii="Livvic Light" w:hAnsi="Livvic Light" w:cs="Calibri Light"/>
          <w:sz w:val="21"/>
          <w:szCs w:val="21"/>
        </w:rPr>
        <w:t>offr</w:t>
      </w:r>
      <w:r>
        <w:rPr>
          <w:rFonts w:ascii="Livvic Light" w:hAnsi="Livvic Light" w:cs="Calibri Light"/>
          <w:sz w:val="21"/>
          <w:szCs w:val="21"/>
        </w:rPr>
        <w:t>ire</w:t>
      </w:r>
      <w:r w:rsidRPr="00752594">
        <w:rPr>
          <w:rFonts w:ascii="Livvic Light" w:hAnsi="Livvic Light" w:cs="Calibri Light"/>
          <w:sz w:val="21"/>
          <w:szCs w:val="21"/>
        </w:rPr>
        <w:t xml:space="preserve"> </w:t>
      </w:r>
      <w:r w:rsidRPr="004D6AED">
        <w:rPr>
          <w:rFonts w:ascii="Livvic Light" w:hAnsi="Livvic Light" w:cs="Calibri Light"/>
          <w:b/>
          <w:bCs/>
          <w:sz w:val="21"/>
          <w:szCs w:val="21"/>
        </w:rPr>
        <w:t>servizi di ADI o RSA proporzionati al numero di anziani con fragilità severa residenti nella stessa regione</w:t>
      </w:r>
      <w:r w:rsidRPr="00752594">
        <w:rPr>
          <w:rFonts w:ascii="Livvic Light" w:hAnsi="Livvic Light" w:cs="Calibri Light"/>
          <w:sz w:val="21"/>
          <w:szCs w:val="21"/>
        </w:rPr>
        <w:t>.</w:t>
      </w:r>
    </w:p>
    <w:p w14:paraId="18B317A3" w14:textId="4DF4707F" w:rsidR="00D8132D" w:rsidRPr="00FE4ACA" w:rsidRDefault="00DB5CFD" w:rsidP="00D8132D">
      <w:pPr>
        <w:spacing w:after="120"/>
        <w:jc w:val="both"/>
        <w:rPr>
          <w:rFonts w:ascii="Livvic Light" w:hAnsi="Livvic Light" w:cs="Calibri Light"/>
          <w:i/>
          <w:iCs/>
          <w:sz w:val="21"/>
          <w:szCs w:val="21"/>
        </w:rPr>
      </w:pPr>
      <w:r w:rsidRPr="00DB5CFD">
        <w:rPr>
          <w:rFonts w:ascii="Livvic Light" w:hAnsi="Livvic Light" w:cs="Calibri Light"/>
          <w:i/>
          <w:iCs/>
          <w:sz w:val="21"/>
          <w:szCs w:val="21"/>
        </w:rPr>
        <w:t>“Nel corso degli anni, ad una documentata espansione della fragilità – dato riscontrato anche in altri Paesi –</w:t>
      </w:r>
      <w:r>
        <w:rPr>
          <w:rFonts w:ascii="Livvic Light" w:hAnsi="Livvic Light" w:cs="Calibri Light"/>
          <w:i/>
          <w:iCs/>
          <w:sz w:val="21"/>
          <w:szCs w:val="21"/>
        </w:rPr>
        <w:t xml:space="preserve">, </w:t>
      </w:r>
      <w:r w:rsidRPr="00DB5CFD">
        <w:rPr>
          <w:rFonts w:ascii="Livvic Light" w:hAnsi="Livvic Light" w:cs="Calibri Light"/>
          <w:i/>
          <w:iCs/>
          <w:sz w:val="21"/>
          <w:szCs w:val="21"/>
        </w:rPr>
        <w:t>in Italia non siamo stati in grado di far corrispondere una proporzionata crescita dei servi</w:t>
      </w:r>
      <w:r w:rsidR="00F84586">
        <w:rPr>
          <w:rFonts w:ascii="Livvic Light" w:hAnsi="Livvic Light" w:cs="Calibri Light"/>
          <w:i/>
          <w:iCs/>
          <w:sz w:val="21"/>
          <w:szCs w:val="21"/>
        </w:rPr>
        <w:t>z</w:t>
      </w:r>
      <w:r w:rsidRPr="00DB5CFD">
        <w:rPr>
          <w:rFonts w:ascii="Livvic Light" w:hAnsi="Livvic Light" w:cs="Calibri Light"/>
          <w:i/>
          <w:iCs/>
          <w:sz w:val="21"/>
          <w:szCs w:val="21"/>
        </w:rPr>
        <w:t>i che offrono cure domiciliari e residenziali. Il fenomeno va stretto in una morsa, da un lato investendo in prevenzione della multimorbidità e fragilità, dall’altro, potenziando la rete della long-term care”,</w:t>
      </w:r>
      <w:r>
        <w:rPr>
          <w:rFonts w:ascii="Livvic Light" w:hAnsi="Livvic Light" w:cs="Calibri Light"/>
          <w:sz w:val="21"/>
          <w:szCs w:val="21"/>
        </w:rPr>
        <w:t xml:space="preserve"> s</w:t>
      </w:r>
      <w:r w:rsidR="00D8132D" w:rsidRPr="00E64FF9">
        <w:rPr>
          <w:rFonts w:ascii="Livvic Light" w:hAnsi="Livvic Light" w:cs="Calibri Light"/>
          <w:sz w:val="21"/>
          <w:szCs w:val="21"/>
        </w:rPr>
        <w:t xml:space="preserve">piega </w:t>
      </w:r>
      <w:r w:rsidR="00D8132D" w:rsidRPr="00E64FF9">
        <w:rPr>
          <w:rFonts w:ascii="Livvic Light" w:hAnsi="Livvic Light" w:cs="Calibri Light"/>
          <w:b/>
          <w:bCs/>
          <w:sz w:val="21"/>
          <w:szCs w:val="21"/>
        </w:rPr>
        <w:t>Davide Vetrano</w:t>
      </w:r>
      <w:r w:rsidR="00D8132D" w:rsidRPr="00E64FF9">
        <w:rPr>
          <w:rFonts w:ascii="Livvic Light" w:hAnsi="Livvic Light" w:cs="Calibri Light"/>
          <w:sz w:val="21"/>
          <w:szCs w:val="21"/>
        </w:rPr>
        <w:t>, consulente scientifico di Italia Longeva.</w:t>
      </w:r>
      <w:r w:rsidR="00D8132D">
        <w:rPr>
          <w:rFonts w:ascii="Livvic Light" w:hAnsi="Livvic Light" w:cs="Calibri Light"/>
          <w:i/>
          <w:iCs/>
          <w:sz w:val="21"/>
          <w:szCs w:val="21"/>
        </w:rPr>
        <w:t xml:space="preserve"> </w:t>
      </w:r>
    </w:p>
    <w:p w14:paraId="625CCF5D" w14:textId="57B9DBA9" w:rsidR="00BD1640" w:rsidRPr="00950C9A" w:rsidRDefault="00C1256A" w:rsidP="00FE4ACA">
      <w:pPr>
        <w:spacing w:after="120"/>
        <w:jc w:val="both"/>
        <w:rPr>
          <w:rFonts w:ascii="Livvic Light" w:hAnsi="Livvic Light" w:cs="Calibri Light"/>
          <w:sz w:val="21"/>
          <w:szCs w:val="21"/>
        </w:rPr>
      </w:pPr>
      <w:r w:rsidRPr="00C1256A">
        <w:rPr>
          <w:rFonts w:ascii="Livvic Light" w:hAnsi="Livvic Light" w:cs="Calibri Light"/>
          <w:sz w:val="21"/>
          <w:szCs w:val="21"/>
        </w:rPr>
        <w:t>I dati</w:t>
      </w:r>
      <w:r w:rsidR="00CC7855" w:rsidRPr="00C1256A">
        <w:rPr>
          <w:rFonts w:ascii="Livvic Light" w:hAnsi="Livvic Light" w:cs="Calibri Light"/>
          <w:sz w:val="21"/>
          <w:szCs w:val="21"/>
        </w:rPr>
        <w:t xml:space="preserve"> del Ministero della Salute sull’</w:t>
      </w:r>
      <w:r w:rsidR="00CC7855" w:rsidRPr="00C1256A">
        <w:rPr>
          <w:rFonts w:ascii="Livvic Light" w:hAnsi="Livvic Light" w:cs="Calibri Light"/>
          <w:b/>
          <w:bCs/>
          <w:sz w:val="21"/>
          <w:szCs w:val="21"/>
        </w:rPr>
        <w:t>offerta di assistenza domiciliare (ADI) e residenziale (RSA),</w:t>
      </w:r>
      <w:r w:rsidR="00CC7855" w:rsidRPr="00752594">
        <w:rPr>
          <w:rFonts w:ascii="Livvic Light" w:hAnsi="Livvic Light" w:cs="Calibri Light"/>
          <w:sz w:val="21"/>
          <w:szCs w:val="21"/>
        </w:rPr>
        <w:t xml:space="preserve"> censiti da Italia Longeva all’interno dell’Indagine, </w:t>
      </w:r>
      <w:r w:rsidR="00950C9A">
        <w:rPr>
          <w:rFonts w:ascii="Livvic Light" w:hAnsi="Livvic Light" w:cs="Calibri Light"/>
          <w:sz w:val="21"/>
          <w:szCs w:val="21"/>
        </w:rPr>
        <w:t>mostrano</w:t>
      </w:r>
      <w:r w:rsidR="00CC7855" w:rsidRPr="00752594">
        <w:rPr>
          <w:rFonts w:ascii="Livvic Light" w:hAnsi="Livvic Light" w:cs="Calibri Light"/>
          <w:sz w:val="21"/>
          <w:szCs w:val="21"/>
        </w:rPr>
        <w:t xml:space="preserve"> </w:t>
      </w:r>
      <w:r>
        <w:rPr>
          <w:rFonts w:ascii="Livvic Light" w:hAnsi="Livvic Light" w:cs="Calibri Light"/>
          <w:sz w:val="21"/>
          <w:szCs w:val="21"/>
        </w:rPr>
        <w:t>un</w:t>
      </w:r>
      <w:r w:rsidR="00950C9A">
        <w:rPr>
          <w:rFonts w:ascii="Livvic Light" w:hAnsi="Livvic Light" w:cs="Calibri Light"/>
          <w:sz w:val="21"/>
          <w:szCs w:val="21"/>
        </w:rPr>
        <w:t xml:space="preserve"> </w:t>
      </w:r>
      <w:r w:rsidR="00950C9A" w:rsidRPr="00950C9A">
        <w:rPr>
          <w:rFonts w:ascii="Livvic Light" w:hAnsi="Livvic Light" w:cs="Calibri Light"/>
          <w:b/>
          <w:bCs/>
          <w:sz w:val="21"/>
          <w:szCs w:val="21"/>
        </w:rPr>
        <w:t xml:space="preserve">aumento progressivo </w:t>
      </w:r>
      <w:r>
        <w:rPr>
          <w:rFonts w:ascii="Livvic Light" w:hAnsi="Livvic Light" w:cs="Calibri Light"/>
          <w:sz w:val="21"/>
          <w:szCs w:val="21"/>
        </w:rPr>
        <w:t>degli anziani</w:t>
      </w:r>
      <w:r w:rsidR="00950C9A">
        <w:rPr>
          <w:rFonts w:ascii="Livvic Light" w:hAnsi="Livvic Light" w:cs="Calibri Light"/>
          <w:sz w:val="21"/>
          <w:szCs w:val="21"/>
        </w:rPr>
        <w:t xml:space="preserve"> che hanno beneficiato di questi servizi </w:t>
      </w:r>
      <w:r w:rsidR="00B95394">
        <w:rPr>
          <w:rFonts w:ascii="Livvic Light" w:hAnsi="Livvic Light" w:cs="Calibri Light"/>
          <w:sz w:val="21"/>
          <w:szCs w:val="21"/>
        </w:rPr>
        <w:t>tra il 2014 e il 2022</w:t>
      </w:r>
      <w:r>
        <w:rPr>
          <w:rFonts w:ascii="Livvic Light" w:hAnsi="Livvic Light" w:cs="Calibri Light"/>
          <w:sz w:val="21"/>
          <w:szCs w:val="21"/>
        </w:rPr>
        <w:t xml:space="preserve">, </w:t>
      </w:r>
      <w:r w:rsidR="00950C9A">
        <w:rPr>
          <w:rFonts w:ascii="Livvic Light" w:hAnsi="Livvic Light" w:cs="Calibri Light"/>
          <w:sz w:val="21"/>
          <w:szCs w:val="21"/>
        </w:rPr>
        <w:t xml:space="preserve">sebbene </w:t>
      </w:r>
      <w:r w:rsidR="00950C9A" w:rsidRPr="00950C9A">
        <w:rPr>
          <w:rFonts w:ascii="Livvic Light" w:hAnsi="Livvic Light" w:cs="Calibri Light"/>
          <w:b/>
          <w:bCs/>
          <w:sz w:val="21"/>
          <w:szCs w:val="21"/>
        </w:rPr>
        <w:t>l’incremento sia moderato e con una</w:t>
      </w:r>
      <w:r w:rsidR="00B95394" w:rsidRPr="00950C9A">
        <w:rPr>
          <w:rFonts w:ascii="Livvic Light" w:hAnsi="Livvic Light" w:cs="Calibri Light"/>
          <w:b/>
          <w:bCs/>
          <w:sz w:val="21"/>
          <w:szCs w:val="21"/>
        </w:rPr>
        <w:t xml:space="preserve"> forte variabilità regionale</w:t>
      </w:r>
      <w:r w:rsidR="00B95394">
        <w:rPr>
          <w:rFonts w:ascii="Livvic Light" w:hAnsi="Livvic Light" w:cs="Calibri Light"/>
          <w:sz w:val="21"/>
          <w:szCs w:val="21"/>
        </w:rPr>
        <w:t xml:space="preserve"> dell’offerta. </w:t>
      </w:r>
      <w:r w:rsidR="00950C9A">
        <w:rPr>
          <w:rFonts w:ascii="Livvic Light" w:hAnsi="Livvic Light" w:cs="Calibri Light"/>
          <w:sz w:val="21"/>
          <w:szCs w:val="21"/>
        </w:rPr>
        <w:t xml:space="preserve">Se </w:t>
      </w:r>
      <w:r w:rsidRPr="00950C9A">
        <w:rPr>
          <w:rFonts w:ascii="Livvic Light" w:hAnsi="Livvic Light" w:cs="Calibri Light"/>
          <w:sz w:val="21"/>
          <w:szCs w:val="21"/>
        </w:rPr>
        <w:t xml:space="preserve">nel 2014 </w:t>
      </w:r>
      <w:r w:rsidR="00950C9A">
        <w:rPr>
          <w:rFonts w:ascii="Livvic Light" w:hAnsi="Livvic Light" w:cs="Calibri Light"/>
          <w:sz w:val="21"/>
          <w:szCs w:val="21"/>
        </w:rPr>
        <w:t xml:space="preserve">è stato assistito in </w:t>
      </w:r>
      <w:r w:rsidR="00B95394" w:rsidRPr="00950C9A">
        <w:rPr>
          <w:rFonts w:ascii="Livvic Light" w:hAnsi="Livvic Light" w:cs="Calibri Light"/>
          <w:sz w:val="21"/>
          <w:szCs w:val="21"/>
        </w:rPr>
        <w:t xml:space="preserve">ADI </w:t>
      </w:r>
      <w:r w:rsidR="00950C9A">
        <w:rPr>
          <w:rFonts w:ascii="Livvic Light" w:hAnsi="Livvic Light" w:cs="Calibri Light"/>
          <w:sz w:val="21"/>
          <w:szCs w:val="21"/>
        </w:rPr>
        <w:t>l</w:t>
      </w:r>
      <w:r w:rsidRPr="00950C9A">
        <w:rPr>
          <w:rFonts w:ascii="Livvic Light" w:hAnsi="Livvic Light" w:cs="Calibri Light"/>
          <w:sz w:val="21"/>
          <w:szCs w:val="21"/>
        </w:rPr>
        <w:t>’1,9% degli over-65 residenti in Italia (</w:t>
      </w:r>
      <w:r w:rsidR="00950C9A" w:rsidRPr="00950C9A">
        <w:rPr>
          <w:rFonts w:ascii="Livvic Light" w:hAnsi="Livvic Light" w:cs="Calibri Light"/>
          <w:sz w:val="21"/>
          <w:szCs w:val="21"/>
        </w:rPr>
        <w:t>poco più di 250.000 anziani)</w:t>
      </w:r>
      <w:r w:rsidRPr="00950C9A">
        <w:rPr>
          <w:rFonts w:ascii="Livvic Light" w:hAnsi="Livvic Light" w:cs="Calibri Light"/>
          <w:sz w:val="21"/>
          <w:szCs w:val="21"/>
        </w:rPr>
        <w:t xml:space="preserve">, nel 2022 </w:t>
      </w:r>
      <w:r w:rsidR="00950C9A">
        <w:rPr>
          <w:rFonts w:ascii="Livvic Light" w:hAnsi="Livvic Light" w:cs="Calibri Light"/>
          <w:sz w:val="21"/>
          <w:szCs w:val="21"/>
        </w:rPr>
        <w:t>è stato interessato i</w:t>
      </w:r>
      <w:r w:rsidRPr="00950C9A">
        <w:rPr>
          <w:rFonts w:ascii="Livvic Light" w:hAnsi="Livvic Light" w:cs="Calibri Light"/>
          <w:sz w:val="21"/>
          <w:szCs w:val="21"/>
        </w:rPr>
        <w:t xml:space="preserve">l 3,27% </w:t>
      </w:r>
      <w:r w:rsidR="00950C9A" w:rsidRPr="00950C9A">
        <w:rPr>
          <w:rFonts w:ascii="Livvic Light" w:hAnsi="Livvic Light" w:cs="Calibri Light"/>
          <w:sz w:val="21"/>
          <w:szCs w:val="21"/>
        </w:rPr>
        <w:t xml:space="preserve">degli ultrasessantacinquenni (circa 460.000 individui). </w:t>
      </w:r>
      <w:r w:rsidR="00B95394" w:rsidRPr="00950C9A">
        <w:rPr>
          <w:rFonts w:ascii="Livvic Light" w:hAnsi="Livvic Light" w:cs="Calibri Light"/>
          <w:sz w:val="21"/>
          <w:szCs w:val="21"/>
        </w:rPr>
        <w:t>Un trend positivo si è registrato anche per il numero di anziani accolti nelle RSA che è passato dal 2,17%</w:t>
      </w:r>
      <w:r w:rsidR="00950C9A" w:rsidRPr="00950C9A">
        <w:rPr>
          <w:rFonts w:ascii="Livvic Light" w:hAnsi="Livvic Light" w:cs="Calibri Light"/>
          <w:sz w:val="21"/>
          <w:szCs w:val="21"/>
        </w:rPr>
        <w:t xml:space="preserve"> degli over-65</w:t>
      </w:r>
      <w:r w:rsidR="00B95394" w:rsidRPr="00950C9A">
        <w:rPr>
          <w:rFonts w:ascii="Livvic Light" w:hAnsi="Livvic Light" w:cs="Calibri Light"/>
          <w:sz w:val="21"/>
          <w:szCs w:val="21"/>
        </w:rPr>
        <w:t xml:space="preserve"> </w:t>
      </w:r>
      <w:r w:rsidR="00950C9A" w:rsidRPr="00950C9A">
        <w:rPr>
          <w:rFonts w:ascii="Livvic Light" w:hAnsi="Livvic Light" w:cs="Calibri Light"/>
          <w:sz w:val="21"/>
          <w:szCs w:val="21"/>
        </w:rPr>
        <w:t xml:space="preserve">nel 2017 (poco più di 296.000 persone) </w:t>
      </w:r>
      <w:r w:rsidR="00B95394" w:rsidRPr="00950C9A">
        <w:rPr>
          <w:rFonts w:ascii="Livvic Light" w:hAnsi="Livvic Light" w:cs="Calibri Light"/>
          <w:sz w:val="21"/>
          <w:szCs w:val="21"/>
        </w:rPr>
        <w:t xml:space="preserve">al </w:t>
      </w:r>
      <w:r w:rsidR="00950C9A" w:rsidRPr="00950C9A">
        <w:rPr>
          <w:rFonts w:ascii="Livvic Light" w:hAnsi="Livvic Light" w:cs="Calibri Light"/>
          <w:sz w:val="21"/>
          <w:szCs w:val="21"/>
        </w:rPr>
        <w:t>2,58% nel 2022 (oltre 360.000 anziani).</w:t>
      </w:r>
    </w:p>
    <w:p w14:paraId="264C6B01" w14:textId="15C8896F" w:rsidR="009D1D6F" w:rsidRDefault="00D8132D" w:rsidP="009D1D6F">
      <w:pPr>
        <w:spacing w:after="120"/>
        <w:jc w:val="both"/>
        <w:rPr>
          <w:rFonts w:ascii="Livvic Light" w:hAnsi="Livvic Light" w:cs="Calibri Light"/>
          <w:sz w:val="21"/>
          <w:szCs w:val="21"/>
        </w:rPr>
      </w:pPr>
      <w:r>
        <w:rPr>
          <w:rFonts w:ascii="Livvic Light" w:hAnsi="Livvic Light" w:cs="Calibri Light"/>
          <w:i/>
          <w:iCs/>
          <w:sz w:val="21"/>
          <w:szCs w:val="21"/>
        </w:rPr>
        <w:t>“</w:t>
      </w:r>
      <w:r w:rsidR="004B40DE">
        <w:rPr>
          <w:rFonts w:ascii="Livvic Light" w:hAnsi="Livvic Light" w:cs="Calibri Light"/>
          <w:i/>
          <w:iCs/>
          <w:sz w:val="21"/>
          <w:szCs w:val="21"/>
        </w:rPr>
        <w:t xml:space="preserve">Il timido incremento dell’offerta di ADI e RSA è positivo ma non basta </w:t>
      </w:r>
      <w:r w:rsidR="004D6AED">
        <w:rPr>
          <w:rFonts w:ascii="Livvic Light" w:hAnsi="Livvic Light" w:cs="Calibri Light"/>
          <w:i/>
          <w:iCs/>
          <w:sz w:val="21"/>
          <w:szCs w:val="21"/>
        </w:rPr>
        <w:t>a soddisfare i bisogni della crescente</w:t>
      </w:r>
      <w:r w:rsidR="004B40DE">
        <w:rPr>
          <w:rFonts w:ascii="Livvic Light" w:hAnsi="Livvic Light" w:cs="Calibri Light"/>
          <w:i/>
          <w:iCs/>
          <w:sz w:val="21"/>
          <w:szCs w:val="21"/>
        </w:rPr>
        <w:t xml:space="preserve"> </w:t>
      </w:r>
      <w:r w:rsidR="004D6AED">
        <w:rPr>
          <w:rFonts w:ascii="Livvic Light" w:hAnsi="Livvic Light" w:cs="Calibri Light"/>
          <w:i/>
          <w:iCs/>
          <w:sz w:val="21"/>
          <w:szCs w:val="21"/>
        </w:rPr>
        <w:t>fetta di popolazione anziana</w:t>
      </w:r>
      <w:r w:rsidR="004B40DE">
        <w:rPr>
          <w:rFonts w:ascii="Livvic Light" w:hAnsi="Livvic Light" w:cs="Calibri Light"/>
          <w:i/>
          <w:iCs/>
          <w:sz w:val="21"/>
          <w:szCs w:val="21"/>
        </w:rPr>
        <w:t xml:space="preserve"> affett</w:t>
      </w:r>
      <w:r w:rsidR="004D6AED">
        <w:rPr>
          <w:rFonts w:ascii="Livvic Light" w:hAnsi="Livvic Light" w:cs="Calibri Light"/>
          <w:i/>
          <w:iCs/>
          <w:sz w:val="21"/>
          <w:szCs w:val="21"/>
        </w:rPr>
        <w:t>a</w:t>
      </w:r>
      <w:r w:rsidR="004B40DE">
        <w:rPr>
          <w:rFonts w:ascii="Livvic Light" w:hAnsi="Livvic Light" w:cs="Calibri Light"/>
          <w:i/>
          <w:iCs/>
          <w:sz w:val="21"/>
          <w:szCs w:val="21"/>
        </w:rPr>
        <w:t xml:space="preserve"> da fragilità. È </w:t>
      </w:r>
      <w:r w:rsidR="009D1D6F" w:rsidRPr="00CC7855">
        <w:rPr>
          <w:rFonts w:ascii="Livvic Light" w:hAnsi="Livvic Light" w:cs="Calibri Light"/>
          <w:i/>
          <w:iCs/>
          <w:sz w:val="21"/>
          <w:szCs w:val="21"/>
        </w:rPr>
        <w:t xml:space="preserve">evidente che se non si inverte questa traiettoria, il servizio sanitario non sarà più in grado di sostenere il peso della fragilità, che va di pari passo con l’aumento del carico di patologie croniche. </w:t>
      </w:r>
      <w:r w:rsidR="004D6AED">
        <w:rPr>
          <w:rFonts w:ascii="Livvic Light" w:hAnsi="Livvic Light" w:cs="Calibri Light"/>
          <w:i/>
          <w:iCs/>
          <w:sz w:val="21"/>
          <w:szCs w:val="21"/>
        </w:rPr>
        <w:t xml:space="preserve">L’imperativo, oggi, è di non </w:t>
      </w:r>
      <w:r w:rsidR="009D1D6F" w:rsidRPr="00CC7855">
        <w:rPr>
          <w:rFonts w:ascii="Livvic Light" w:hAnsi="Livvic Light" w:cs="Calibri Light"/>
          <w:i/>
          <w:iCs/>
          <w:sz w:val="21"/>
          <w:szCs w:val="21"/>
        </w:rPr>
        <w:t>sprecare l’occasione del PNRR per riorganizzare il sistema delle cure territoriali, destinando risorse, strutture e professionalità adeguate a garantire una risposta efficace alle necessità dei nostri anziani”</w:t>
      </w:r>
      <w:r w:rsidR="004B40DE">
        <w:rPr>
          <w:rFonts w:ascii="Livvic Light" w:hAnsi="Livvic Light" w:cs="Calibri Light"/>
          <w:i/>
          <w:iCs/>
          <w:sz w:val="21"/>
          <w:szCs w:val="21"/>
        </w:rPr>
        <w:t xml:space="preserve">, </w:t>
      </w:r>
      <w:r w:rsidR="004B40DE" w:rsidRPr="009004F6">
        <w:rPr>
          <w:rFonts w:ascii="Livvic Light" w:hAnsi="Livvic Light" w:cs="Calibri Light"/>
          <w:sz w:val="21"/>
          <w:szCs w:val="21"/>
        </w:rPr>
        <w:t>conclude il presidente Bernabei.</w:t>
      </w:r>
    </w:p>
    <w:p w14:paraId="106208C7" w14:textId="33D131E1" w:rsidR="00C42E98" w:rsidRPr="00CC7855" w:rsidRDefault="00000000" w:rsidP="009D1D6F">
      <w:pPr>
        <w:spacing w:after="120"/>
        <w:jc w:val="both"/>
        <w:rPr>
          <w:rFonts w:ascii="Livvic Light" w:hAnsi="Livvic Light" w:cs="Calibri Light"/>
          <w:i/>
          <w:iCs/>
          <w:sz w:val="21"/>
          <w:szCs w:val="21"/>
        </w:rPr>
      </w:pPr>
      <w:hyperlink r:id="rId9" w:history="1">
        <w:r w:rsidR="00C42E98" w:rsidRPr="00C42E98">
          <w:rPr>
            <w:rStyle w:val="Collegamentoipertestuale"/>
            <w:rFonts w:ascii="Livvic Light" w:hAnsi="Livvic Light" w:cs="Calibri Light"/>
            <w:sz w:val="21"/>
            <w:szCs w:val="21"/>
          </w:rPr>
          <w:t>Scarica</w:t>
        </w:r>
      </w:hyperlink>
      <w:r w:rsidR="00C42E98">
        <w:rPr>
          <w:rFonts w:ascii="Livvic Light" w:hAnsi="Livvic Light" w:cs="Calibri Light"/>
          <w:sz w:val="21"/>
          <w:szCs w:val="21"/>
        </w:rPr>
        <w:t xml:space="preserve"> l’Indagine 2023 di Italia Longeva</w:t>
      </w:r>
    </w:p>
    <w:p w14:paraId="34BA68BE" w14:textId="77777777" w:rsidR="00E64FF9" w:rsidRDefault="00E64FF9" w:rsidP="00A71FCB">
      <w:pPr>
        <w:spacing w:after="120"/>
        <w:jc w:val="both"/>
        <w:rPr>
          <w:rFonts w:ascii="Livvic Light" w:hAnsi="Livvic Light" w:cs="Calibri Light"/>
          <w:sz w:val="21"/>
          <w:szCs w:val="21"/>
        </w:rPr>
      </w:pPr>
    </w:p>
    <w:p w14:paraId="028819DC" w14:textId="3FEDE187" w:rsidR="00E64FF9" w:rsidRDefault="00D8132D" w:rsidP="00D8132D">
      <w:pPr>
        <w:spacing w:after="120"/>
        <w:jc w:val="center"/>
        <w:rPr>
          <w:rFonts w:ascii="Livvic Light" w:hAnsi="Livvic Light" w:cs="Calibri Light"/>
          <w:sz w:val="21"/>
          <w:szCs w:val="21"/>
        </w:rPr>
      </w:pPr>
      <w:r>
        <w:rPr>
          <w:rFonts w:ascii="Livvic Light" w:hAnsi="Livvic Light" w:cs="Calibri Light"/>
          <w:sz w:val="21"/>
          <w:szCs w:val="21"/>
        </w:rPr>
        <w:t>***</w:t>
      </w:r>
    </w:p>
    <w:p w14:paraId="3D44DAD0" w14:textId="71F73BB4" w:rsidR="00C9786B" w:rsidRPr="00E64FF9" w:rsidRDefault="00C9786B" w:rsidP="00A71FCB">
      <w:pPr>
        <w:spacing w:after="120"/>
        <w:jc w:val="both"/>
        <w:rPr>
          <w:rFonts w:ascii="Livvic Light" w:hAnsi="Livvic Light" w:cs="Calibri Light"/>
          <w:b/>
          <w:bCs/>
          <w:sz w:val="21"/>
          <w:szCs w:val="21"/>
        </w:rPr>
      </w:pPr>
      <w:r w:rsidRPr="00E64FF9">
        <w:rPr>
          <w:rFonts w:ascii="Livvic Light" w:hAnsi="Livvic Light" w:cs="Calibri Light"/>
          <w:b/>
          <w:bCs/>
          <w:sz w:val="21"/>
          <w:szCs w:val="21"/>
        </w:rPr>
        <w:t>Bibliografia</w:t>
      </w:r>
    </w:p>
    <w:p w14:paraId="0BD20979" w14:textId="43946778" w:rsidR="009A3950" w:rsidRPr="005B6256" w:rsidRDefault="00FE04D7" w:rsidP="00D8132D">
      <w:pPr>
        <w:rPr>
          <w:rFonts w:ascii="Livvic Light" w:hAnsi="Livvic Light" w:cs="Calibri Light"/>
          <w:sz w:val="17"/>
          <w:szCs w:val="17"/>
        </w:rPr>
      </w:pPr>
      <w:r w:rsidRPr="005B6256">
        <w:rPr>
          <w:rFonts w:ascii="Livvic Light" w:hAnsi="Livvic Light" w:cs="Calibri Light"/>
          <w:sz w:val="17"/>
          <w:szCs w:val="17"/>
          <w:vertAlign w:val="superscript"/>
        </w:rPr>
        <w:t>1</w:t>
      </w:r>
      <w:r w:rsidRPr="005B6256">
        <w:rPr>
          <w:rFonts w:ascii="Livvic Light" w:hAnsi="Livvic Light" w:cs="Calibri Light"/>
          <w:sz w:val="17"/>
          <w:szCs w:val="17"/>
        </w:rPr>
        <w:t xml:space="preserve"> Dato calcolato sulla popolazione </w:t>
      </w:r>
      <w:r w:rsidRPr="005B6256">
        <w:rPr>
          <w:rFonts w:ascii="Livvic Light" w:hAnsi="Livvic Light" w:cs="Calibri Light"/>
          <w:sz w:val="17"/>
          <w:szCs w:val="17"/>
        </w:rPr>
        <w:sym w:font="Symbol" w:char="F0B3"/>
      </w:r>
      <w:r w:rsidRPr="005B6256">
        <w:rPr>
          <w:rFonts w:ascii="Livvic Light" w:hAnsi="Livvic Light" w:cs="Calibri Light"/>
          <w:sz w:val="17"/>
          <w:szCs w:val="17"/>
        </w:rPr>
        <w:t>50</w:t>
      </w:r>
      <w:r w:rsidR="00C9786B" w:rsidRPr="005B6256">
        <w:rPr>
          <w:rFonts w:ascii="Livvic Light" w:hAnsi="Livvic Light" w:cs="Calibri Light"/>
          <w:sz w:val="17"/>
          <w:szCs w:val="17"/>
        </w:rPr>
        <w:t xml:space="preserve"> anni</w:t>
      </w:r>
      <w:r w:rsidRPr="005B6256">
        <w:rPr>
          <w:rFonts w:ascii="Livvic Light" w:hAnsi="Livvic Light" w:cs="Calibri Light"/>
          <w:sz w:val="17"/>
          <w:szCs w:val="17"/>
        </w:rPr>
        <w:t xml:space="preserve"> residente</w:t>
      </w:r>
      <w:r w:rsidR="00C9786B" w:rsidRPr="005B6256">
        <w:rPr>
          <w:rFonts w:ascii="Livvic Light" w:hAnsi="Livvic Light" w:cs="Calibri Light"/>
          <w:sz w:val="17"/>
          <w:szCs w:val="17"/>
        </w:rPr>
        <w:t xml:space="preserve"> in Italia</w:t>
      </w:r>
      <w:r w:rsidRPr="005B6256">
        <w:rPr>
          <w:rFonts w:ascii="Livvic Light" w:hAnsi="Livvic Light" w:cs="Calibri Light"/>
          <w:sz w:val="17"/>
          <w:szCs w:val="17"/>
        </w:rPr>
        <w:t xml:space="preserve"> al </w:t>
      </w:r>
      <w:r w:rsidR="00C9786B" w:rsidRPr="005B6256">
        <w:rPr>
          <w:rFonts w:ascii="Livvic Light" w:hAnsi="Livvic Light" w:cs="Calibri Light"/>
          <w:sz w:val="17"/>
          <w:szCs w:val="17"/>
        </w:rPr>
        <w:t xml:space="preserve">01/01/2023 - </w:t>
      </w:r>
      <w:hyperlink r:id="rId10" w:history="1">
        <w:r w:rsidR="00C9786B" w:rsidRPr="005B6256">
          <w:rPr>
            <w:rStyle w:val="Collegamentoipertestuale"/>
            <w:rFonts w:ascii="Livvic Light" w:hAnsi="Livvic Light" w:cs="Calibri Light"/>
            <w:sz w:val="17"/>
            <w:szCs w:val="17"/>
          </w:rPr>
          <w:t>http://dati.istat.it/Index.aspx?QueryId=42869#</w:t>
        </w:r>
      </w:hyperlink>
      <w:r w:rsidR="00C9786B" w:rsidRPr="005B6256">
        <w:rPr>
          <w:rFonts w:ascii="Livvic Light" w:hAnsi="Livvic Light" w:cs="Calibri Light"/>
          <w:sz w:val="17"/>
          <w:szCs w:val="17"/>
        </w:rPr>
        <w:t xml:space="preserve"> </w:t>
      </w:r>
    </w:p>
    <w:p w14:paraId="17EA4C98" w14:textId="65EE4231" w:rsidR="009A3950" w:rsidRPr="005B6256" w:rsidRDefault="00FE04D7" w:rsidP="00D8132D">
      <w:pPr>
        <w:jc w:val="both"/>
        <w:rPr>
          <w:rFonts w:ascii="Livvic Light" w:hAnsi="Livvic Light" w:cs="Calibri Light"/>
          <w:sz w:val="17"/>
          <w:szCs w:val="17"/>
        </w:rPr>
      </w:pPr>
      <w:r w:rsidRPr="005B6256">
        <w:rPr>
          <w:rFonts w:ascii="Livvic Light" w:hAnsi="Livvic Light" w:cs="Calibri Light"/>
          <w:sz w:val="17"/>
          <w:szCs w:val="17"/>
          <w:vertAlign w:val="superscript"/>
        </w:rPr>
        <w:t>2</w:t>
      </w:r>
      <w:r w:rsidRPr="005B6256">
        <w:rPr>
          <w:rFonts w:ascii="Livvic Light" w:hAnsi="Livvic Light" w:cs="Calibri Light"/>
          <w:sz w:val="17"/>
          <w:szCs w:val="17"/>
        </w:rPr>
        <w:t xml:space="preserve"> L’indice di fragilità</w:t>
      </w:r>
      <w:r w:rsidR="00C9786B" w:rsidRPr="005B6256">
        <w:rPr>
          <w:rFonts w:ascii="Livvic Light" w:hAnsi="Livvic Light" w:cs="Calibri Light"/>
          <w:sz w:val="17"/>
          <w:szCs w:val="17"/>
        </w:rPr>
        <w:t xml:space="preserve"> (Frailty Index) nato dalla</w:t>
      </w:r>
      <w:r w:rsidRPr="005B6256">
        <w:rPr>
          <w:rFonts w:ascii="Livvic Light" w:hAnsi="Livvic Light" w:cs="Calibri Light"/>
          <w:sz w:val="17"/>
          <w:szCs w:val="17"/>
        </w:rPr>
        <w:t xml:space="preserve"> collaborazione tra SIMG, l’Istituto Karolinska di Stoccolma e Italia Longeva, è uno strumento altamente predittivo</w:t>
      </w:r>
      <w:r w:rsidR="00C9786B" w:rsidRPr="005B6256">
        <w:rPr>
          <w:rFonts w:ascii="Livvic Light" w:hAnsi="Livvic Light" w:cs="Calibri Light"/>
          <w:sz w:val="17"/>
          <w:szCs w:val="17"/>
        </w:rPr>
        <w:t>,</w:t>
      </w:r>
      <w:r w:rsidRPr="005B6256">
        <w:rPr>
          <w:rFonts w:ascii="Livvic Light" w:hAnsi="Livvic Light" w:cs="Calibri Light"/>
          <w:sz w:val="17"/>
          <w:szCs w:val="17"/>
        </w:rPr>
        <w:t xml:space="preserve"> basato sulla prevalenza di 25 deficit tra malattie croniche, aspetti funzionali e nutrizionali, selezionati da un algoritmo informatico validato), e facilmente implementabile nel database in uso ai medici di medicina generale</w:t>
      </w:r>
      <w:r w:rsidR="00C9786B" w:rsidRPr="005B6256">
        <w:rPr>
          <w:rFonts w:ascii="Livvic Light" w:hAnsi="Livvic Light" w:cs="Calibri Light"/>
          <w:sz w:val="17"/>
          <w:szCs w:val="17"/>
        </w:rPr>
        <w:t>.</w:t>
      </w:r>
    </w:p>
    <w:p w14:paraId="2D8B3AF0" w14:textId="77777777" w:rsidR="00752594" w:rsidRDefault="00752594" w:rsidP="00550901">
      <w:pPr>
        <w:spacing w:after="120" w:line="271" w:lineRule="auto"/>
        <w:jc w:val="both"/>
        <w:rPr>
          <w:rFonts w:ascii="Livvic Light" w:hAnsi="Livvic Light" w:cs="Calibri Light"/>
          <w:sz w:val="21"/>
          <w:szCs w:val="21"/>
        </w:rPr>
      </w:pPr>
    </w:p>
    <w:p w14:paraId="16D8F603" w14:textId="49233D4C" w:rsidR="00670F2F" w:rsidRPr="00DB5CFD" w:rsidRDefault="004B40DE" w:rsidP="00DB5CFD">
      <w:pPr>
        <w:spacing w:after="120"/>
        <w:jc w:val="center"/>
        <w:rPr>
          <w:rFonts w:ascii="Livvic Light" w:hAnsi="Livvic Light" w:cs="Calibri Light"/>
          <w:sz w:val="21"/>
          <w:szCs w:val="21"/>
        </w:rPr>
      </w:pPr>
      <w:r>
        <w:rPr>
          <w:rFonts w:ascii="Livvic Light" w:hAnsi="Livvic Light" w:cs="Calibri Light"/>
          <w:sz w:val="21"/>
          <w:szCs w:val="21"/>
        </w:rPr>
        <w:t>***</w:t>
      </w:r>
    </w:p>
    <w:p w14:paraId="573926AB" w14:textId="2514AFA8" w:rsidR="00F37D1B" w:rsidRPr="00E64FF9" w:rsidRDefault="00F37D1B" w:rsidP="00887F07">
      <w:pPr>
        <w:contextualSpacing/>
        <w:jc w:val="both"/>
        <w:rPr>
          <w:rFonts w:ascii="Livvic Light" w:hAnsi="Livvic Light" w:cs="Calibri Light"/>
          <w:b/>
          <w:bCs/>
          <w:noProof/>
          <w:sz w:val="21"/>
          <w:szCs w:val="21"/>
        </w:rPr>
      </w:pPr>
      <w:r w:rsidRPr="00E64FF9">
        <w:rPr>
          <w:rFonts w:ascii="Livvic Light" w:hAnsi="Livvic Light" w:cs="Calibri Light"/>
          <w:b/>
          <w:bCs/>
          <w:noProof/>
          <w:sz w:val="21"/>
          <w:szCs w:val="21"/>
        </w:rPr>
        <w:t>Per ulteriori informazioni</w:t>
      </w:r>
    </w:p>
    <w:p w14:paraId="468D432A" w14:textId="77777777" w:rsidR="00F37D1B" w:rsidRPr="00752594" w:rsidRDefault="00F37D1B" w:rsidP="00887F07">
      <w:pPr>
        <w:contextualSpacing/>
        <w:jc w:val="both"/>
        <w:rPr>
          <w:rFonts w:ascii="Livvic Light" w:hAnsi="Livvic Light" w:cs="Calibri Light"/>
          <w:noProof/>
          <w:sz w:val="21"/>
          <w:szCs w:val="21"/>
        </w:rPr>
      </w:pPr>
      <w:r w:rsidRPr="00752594">
        <w:rPr>
          <w:rFonts w:ascii="Livvic Light" w:hAnsi="Livvic Light" w:cs="Calibri Light"/>
          <w:noProof/>
          <w:sz w:val="21"/>
          <w:szCs w:val="21"/>
        </w:rPr>
        <w:t xml:space="preserve">Ufficio stampa Value Relations </w:t>
      </w:r>
    </w:p>
    <w:p w14:paraId="1BD5C66E" w14:textId="5B0E9055" w:rsidR="00F37D1B" w:rsidRPr="00752594" w:rsidRDefault="00F37D1B" w:rsidP="00887F07">
      <w:pPr>
        <w:contextualSpacing/>
        <w:jc w:val="both"/>
        <w:rPr>
          <w:rFonts w:ascii="Livvic Light" w:hAnsi="Livvic Light" w:cs="Calibri Light"/>
          <w:noProof/>
          <w:sz w:val="21"/>
          <w:szCs w:val="21"/>
        </w:rPr>
      </w:pPr>
      <w:r w:rsidRPr="007B3267">
        <w:rPr>
          <w:rFonts w:ascii="Livvic Light" w:hAnsi="Livvic Light" w:cs="Calibri Light"/>
          <w:i/>
          <w:iCs/>
          <w:noProof/>
          <w:sz w:val="21"/>
          <w:szCs w:val="21"/>
        </w:rPr>
        <w:t>Angela Del Giudice</w:t>
      </w:r>
      <w:r w:rsidR="00670F2F" w:rsidRPr="00752594">
        <w:rPr>
          <w:rFonts w:ascii="Livvic Light" w:hAnsi="Livvic Light" w:cs="Calibri Light"/>
          <w:noProof/>
          <w:sz w:val="21"/>
          <w:szCs w:val="21"/>
        </w:rPr>
        <w:t xml:space="preserve">: </w:t>
      </w:r>
      <w:r w:rsidRPr="00752594">
        <w:rPr>
          <w:rFonts w:ascii="Livvic Light" w:hAnsi="Livvic Light" w:cs="Calibri Light"/>
          <w:noProof/>
          <w:sz w:val="21"/>
          <w:szCs w:val="21"/>
        </w:rPr>
        <w:t>392.6858392</w:t>
      </w:r>
      <w:r w:rsidR="00C8428D" w:rsidRPr="00752594">
        <w:rPr>
          <w:rFonts w:ascii="Livvic Light" w:hAnsi="Livvic Light" w:cs="Calibri Light"/>
          <w:noProof/>
          <w:sz w:val="21"/>
          <w:szCs w:val="21"/>
        </w:rPr>
        <w:t xml:space="preserve">, </w:t>
      </w:r>
      <w:hyperlink r:id="rId11" w:history="1">
        <w:r w:rsidR="00C8428D" w:rsidRPr="00752594">
          <w:rPr>
            <w:rStyle w:val="Collegamentoipertestuale"/>
            <w:rFonts w:ascii="Livvic Light" w:hAnsi="Livvic Light" w:cs="Calibri Light"/>
            <w:noProof/>
            <w:sz w:val="21"/>
            <w:szCs w:val="21"/>
          </w:rPr>
          <w:t>a.delgiudice@vrelations.it</w:t>
        </w:r>
      </w:hyperlink>
      <w:r w:rsidRPr="00752594">
        <w:rPr>
          <w:rFonts w:ascii="Livvic Light" w:hAnsi="Livvic Light" w:cs="Calibri Light"/>
          <w:noProof/>
          <w:sz w:val="21"/>
          <w:szCs w:val="21"/>
        </w:rPr>
        <w:t xml:space="preserve"> </w:t>
      </w:r>
    </w:p>
    <w:p w14:paraId="7FEBF5F9" w14:textId="0EF3F080" w:rsidR="00C8428D" w:rsidRDefault="00F37D1B" w:rsidP="00887F07">
      <w:pPr>
        <w:contextualSpacing/>
        <w:jc w:val="both"/>
        <w:rPr>
          <w:rFonts w:ascii="Livvic Light" w:hAnsi="Livvic Light" w:cs="Calibri Light"/>
          <w:noProof/>
          <w:sz w:val="21"/>
          <w:szCs w:val="21"/>
        </w:rPr>
      </w:pPr>
      <w:r w:rsidRPr="007B3267">
        <w:rPr>
          <w:rFonts w:ascii="Livvic Light" w:hAnsi="Livvic Light" w:cs="Calibri Light"/>
          <w:i/>
          <w:iCs/>
          <w:noProof/>
          <w:sz w:val="21"/>
          <w:szCs w:val="21"/>
        </w:rPr>
        <w:t>Chiara Farroni</w:t>
      </w:r>
      <w:r w:rsidR="00670F2F" w:rsidRPr="00752594">
        <w:rPr>
          <w:rFonts w:ascii="Livvic Light" w:hAnsi="Livvic Light" w:cs="Calibri Light"/>
          <w:noProof/>
          <w:sz w:val="21"/>
          <w:szCs w:val="21"/>
        </w:rPr>
        <w:t xml:space="preserve">: </w:t>
      </w:r>
      <w:r w:rsidRPr="00752594">
        <w:rPr>
          <w:rFonts w:ascii="Livvic Light" w:hAnsi="Livvic Light" w:cs="Calibri Light"/>
          <w:noProof/>
          <w:sz w:val="21"/>
          <w:szCs w:val="21"/>
        </w:rPr>
        <w:t>331 4997375</w:t>
      </w:r>
      <w:r w:rsidR="00C8428D" w:rsidRPr="00752594">
        <w:rPr>
          <w:rFonts w:ascii="Livvic Light" w:hAnsi="Livvic Light" w:cs="Calibri Light"/>
          <w:noProof/>
          <w:sz w:val="21"/>
          <w:szCs w:val="21"/>
        </w:rPr>
        <w:t xml:space="preserve">, </w:t>
      </w:r>
      <w:hyperlink r:id="rId12" w:history="1">
        <w:r w:rsidR="00C8428D" w:rsidRPr="00752594">
          <w:rPr>
            <w:rStyle w:val="Collegamentoipertestuale"/>
            <w:rFonts w:ascii="Livvic Light" w:hAnsi="Livvic Light" w:cs="Calibri Light"/>
            <w:noProof/>
            <w:sz w:val="21"/>
            <w:szCs w:val="21"/>
          </w:rPr>
          <w:t>c.farroni@vrelations.it</w:t>
        </w:r>
      </w:hyperlink>
      <w:r w:rsidRPr="00752594">
        <w:rPr>
          <w:rFonts w:ascii="Livvic Light" w:hAnsi="Livvic Light" w:cs="Calibri Light"/>
          <w:noProof/>
          <w:sz w:val="21"/>
          <w:szCs w:val="21"/>
        </w:rPr>
        <w:t xml:space="preserve"> </w:t>
      </w:r>
    </w:p>
    <w:p w14:paraId="2A7A5196" w14:textId="77777777" w:rsidR="00EF0191" w:rsidRDefault="00EF0191" w:rsidP="00887F07">
      <w:pPr>
        <w:contextualSpacing/>
        <w:jc w:val="both"/>
        <w:rPr>
          <w:rFonts w:ascii="Livvic Light" w:hAnsi="Livvic Light" w:cs="Calibri Light"/>
          <w:noProof/>
          <w:sz w:val="21"/>
          <w:szCs w:val="21"/>
        </w:rPr>
      </w:pPr>
    </w:p>
    <w:p w14:paraId="00A7F526" w14:textId="77777777" w:rsidR="00E34617" w:rsidRDefault="00E34617" w:rsidP="00887F07">
      <w:pPr>
        <w:contextualSpacing/>
        <w:jc w:val="both"/>
        <w:rPr>
          <w:rFonts w:ascii="Livvic Light" w:hAnsi="Livvic Light" w:cs="Calibri Light"/>
          <w:noProof/>
          <w:sz w:val="21"/>
          <w:szCs w:val="21"/>
        </w:rPr>
      </w:pPr>
    </w:p>
    <w:p w14:paraId="5036209E" w14:textId="77777777" w:rsidR="00921CF4" w:rsidRDefault="00921CF4" w:rsidP="00B07B00">
      <w:pPr>
        <w:contextualSpacing/>
        <w:rPr>
          <w:rFonts w:ascii="Livvic Light" w:hAnsi="Livvic Light" w:cs="Calibri Light"/>
          <w:noProof/>
          <w:sz w:val="21"/>
          <w:szCs w:val="21"/>
        </w:rPr>
      </w:pPr>
    </w:p>
    <w:p w14:paraId="309D32B8" w14:textId="693FD0B2" w:rsidR="00EF0191" w:rsidRDefault="00EF0191" w:rsidP="00EF0191">
      <w:pPr>
        <w:contextualSpacing/>
        <w:jc w:val="center"/>
        <w:rPr>
          <w:rFonts w:ascii="Livvic Light" w:hAnsi="Livvic Light" w:cs="Calibri Light"/>
          <w:noProof/>
          <w:sz w:val="21"/>
          <w:szCs w:val="21"/>
        </w:rPr>
      </w:pPr>
      <w:r>
        <w:rPr>
          <w:rFonts w:ascii="Livvic Light" w:hAnsi="Livvic Light" w:cs="Calibri Light"/>
          <w:noProof/>
          <w:sz w:val="21"/>
          <w:szCs w:val="21"/>
        </w:rPr>
        <w:lastRenderedPageBreak/>
        <w:t>***</w:t>
      </w:r>
    </w:p>
    <w:p w14:paraId="354A4C66" w14:textId="77777777" w:rsidR="00921CF4" w:rsidRDefault="00921CF4" w:rsidP="007B3267">
      <w:pPr>
        <w:contextualSpacing/>
        <w:jc w:val="center"/>
        <w:rPr>
          <w:rFonts w:ascii="Livvic" w:hAnsi="Livvic"/>
          <w:b/>
          <w:bCs/>
          <w:noProof/>
          <w:sz w:val="14"/>
          <w:szCs w:val="14"/>
        </w:rPr>
      </w:pPr>
    </w:p>
    <w:p w14:paraId="06FC27D5" w14:textId="77777777" w:rsidR="00921CF4" w:rsidRDefault="00921CF4" w:rsidP="007B3267">
      <w:pPr>
        <w:contextualSpacing/>
        <w:jc w:val="center"/>
        <w:rPr>
          <w:rFonts w:ascii="Livvic" w:hAnsi="Livvic"/>
          <w:b/>
          <w:bCs/>
          <w:noProof/>
          <w:sz w:val="14"/>
          <w:szCs w:val="14"/>
        </w:rPr>
      </w:pPr>
    </w:p>
    <w:p w14:paraId="585A5FB2" w14:textId="77777777" w:rsidR="00921CF4" w:rsidRDefault="00921CF4" w:rsidP="007B3267">
      <w:pPr>
        <w:contextualSpacing/>
        <w:jc w:val="center"/>
        <w:rPr>
          <w:rFonts w:ascii="Livvic" w:hAnsi="Livvic"/>
          <w:b/>
          <w:bCs/>
          <w:noProof/>
          <w:sz w:val="14"/>
          <w:szCs w:val="14"/>
        </w:rPr>
      </w:pPr>
    </w:p>
    <w:p w14:paraId="4B9BA070" w14:textId="1290CECE" w:rsidR="007B3267" w:rsidRPr="00EF0191" w:rsidRDefault="007B3267" w:rsidP="007B3267">
      <w:pPr>
        <w:contextualSpacing/>
        <w:jc w:val="center"/>
        <w:rPr>
          <w:rFonts w:ascii="Livvic" w:hAnsi="Livvic" w:cs="Calibri Light"/>
          <w:b/>
          <w:bCs/>
          <w:noProof/>
          <w:sz w:val="14"/>
          <w:szCs w:val="14"/>
        </w:rPr>
      </w:pPr>
      <w:r>
        <w:rPr>
          <w:rFonts w:ascii="Livvic" w:hAnsi="Livvic"/>
          <w:b/>
          <w:bCs/>
          <w:noProof/>
          <w:sz w:val="14"/>
          <w:szCs w:val="14"/>
        </w:rPr>
        <w:t xml:space="preserve">INDAGINE ITALIA LONGEVA - </w:t>
      </w:r>
      <w:r w:rsidRPr="00EF0191">
        <w:rPr>
          <w:rFonts w:ascii="Livvic" w:hAnsi="Livvic"/>
          <w:b/>
          <w:bCs/>
          <w:noProof/>
          <w:sz w:val="14"/>
          <w:szCs w:val="14"/>
        </w:rPr>
        <w:t>Mappe della prevalenza composita di fragilità moderata e grave nelle regioni italiane, tra il 2011 e il 2021</w:t>
      </w:r>
    </w:p>
    <w:p w14:paraId="2C66D8DB" w14:textId="77777777" w:rsidR="007B3267" w:rsidRDefault="007B3267" w:rsidP="007B3267">
      <w:pPr>
        <w:contextualSpacing/>
        <w:rPr>
          <w:rFonts w:ascii="Livvic Light" w:hAnsi="Livvic Light" w:cs="Calibri Light"/>
          <w:noProof/>
          <w:sz w:val="21"/>
          <w:szCs w:val="21"/>
        </w:rPr>
      </w:pPr>
    </w:p>
    <w:p w14:paraId="7E49AB7B" w14:textId="36DE4E37" w:rsidR="00DB5CFD" w:rsidRDefault="007B3267" w:rsidP="007B3267">
      <w:pPr>
        <w:contextualSpacing/>
        <w:jc w:val="center"/>
        <w:rPr>
          <w:rFonts w:ascii="Livvic Light" w:hAnsi="Livvic Light" w:cs="Calibri Light"/>
          <w:noProof/>
          <w:sz w:val="21"/>
          <w:szCs w:val="21"/>
        </w:rPr>
      </w:pPr>
      <w:r>
        <w:rPr>
          <w:rFonts w:ascii="Livvic Light" w:hAnsi="Livvic Light" w:cs="Calibri Light"/>
          <w:noProof/>
          <w:sz w:val="21"/>
          <w:szCs w:val="21"/>
        </w:rPr>
        <w:drawing>
          <wp:inline distT="0" distB="0" distL="0" distR="0" wp14:anchorId="096B73BE" wp14:editId="5D951718">
            <wp:extent cx="4276255" cy="4961467"/>
            <wp:effectExtent l="0" t="0" r="3810" b="4445"/>
            <wp:docPr id="201934479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44794" name="Immagine 2019344794"/>
                    <pic:cNvPicPr/>
                  </pic:nvPicPr>
                  <pic:blipFill>
                    <a:blip r:embed="rId13"/>
                    <a:stretch>
                      <a:fillRect/>
                    </a:stretch>
                  </pic:blipFill>
                  <pic:spPr>
                    <a:xfrm>
                      <a:off x="0" y="0"/>
                      <a:ext cx="4310672" cy="5001399"/>
                    </a:xfrm>
                    <a:prstGeom prst="rect">
                      <a:avLst/>
                    </a:prstGeom>
                  </pic:spPr>
                </pic:pic>
              </a:graphicData>
            </a:graphic>
          </wp:inline>
        </w:drawing>
      </w:r>
    </w:p>
    <w:p w14:paraId="03B1D3C6" w14:textId="77777777" w:rsidR="00DB5CFD" w:rsidRDefault="00DB5CFD" w:rsidP="0056704F">
      <w:pPr>
        <w:contextualSpacing/>
        <w:rPr>
          <w:rFonts w:ascii="Livvic Light" w:hAnsi="Livvic Light" w:cs="Calibri Light"/>
          <w:noProof/>
          <w:sz w:val="21"/>
          <w:szCs w:val="21"/>
        </w:rPr>
      </w:pPr>
    </w:p>
    <w:p w14:paraId="4DE1F242" w14:textId="77777777" w:rsidR="00921CF4" w:rsidRDefault="00921CF4" w:rsidP="00EF0191">
      <w:pPr>
        <w:contextualSpacing/>
        <w:jc w:val="center"/>
        <w:rPr>
          <w:rFonts w:ascii="Livvic" w:hAnsi="Livvic"/>
          <w:b/>
          <w:bCs/>
          <w:noProof/>
          <w:sz w:val="14"/>
          <w:szCs w:val="14"/>
        </w:rPr>
      </w:pPr>
    </w:p>
    <w:p w14:paraId="59DAE893" w14:textId="77777777" w:rsidR="00921CF4" w:rsidRDefault="00921CF4" w:rsidP="00EF0191">
      <w:pPr>
        <w:contextualSpacing/>
        <w:jc w:val="center"/>
        <w:rPr>
          <w:rFonts w:ascii="Livvic" w:hAnsi="Livvic"/>
          <w:b/>
          <w:bCs/>
          <w:noProof/>
          <w:sz w:val="14"/>
          <w:szCs w:val="14"/>
        </w:rPr>
      </w:pPr>
    </w:p>
    <w:p w14:paraId="68A5E64B" w14:textId="77777777" w:rsidR="00921CF4" w:rsidRDefault="00921CF4" w:rsidP="00EF0191">
      <w:pPr>
        <w:contextualSpacing/>
        <w:jc w:val="center"/>
        <w:rPr>
          <w:rFonts w:ascii="Livvic" w:hAnsi="Livvic"/>
          <w:b/>
          <w:bCs/>
          <w:noProof/>
          <w:sz w:val="14"/>
          <w:szCs w:val="14"/>
        </w:rPr>
      </w:pPr>
    </w:p>
    <w:p w14:paraId="48FEA3FC" w14:textId="77777777" w:rsidR="00921CF4" w:rsidRDefault="00921CF4" w:rsidP="00EF0191">
      <w:pPr>
        <w:contextualSpacing/>
        <w:jc w:val="center"/>
        <w:rPr>
          <w:rFonts w:ascii="Livvic" w:hAnsi="Livvic"/>
          <w:b/>
          <w:bCs/>
          <w:noProof/>
          <w:sz w:val="14"/>
          <w:szCs w:val="14"/>
        </w:rPr>
      </w:pPr>
    </w:p>
    <w:p w14:paraId="6E2B07F1" w14:textId="77777777" w:rsidR="00921CF4" w:rsidRDefault="00921CF4" w:rsidP="00EF0191">
      <w:pPr>
        <w:contextualSpacing/>
        <w:jc w:val="center"/>
        <w:rPr>
          <w:rFonts w:ascii="Livvic" w:hAnsi="Livvic"/>
          <w:b/>
          <w:bCs/>
          <w:noProof/>
          <w:sz w:val="14"/>
          <w:szCs w:val="14"/>
        </w:rPr>
      </w:pPr>
    </w:p>
    <w:p w14:paraId="3F773193" w14:textId="77777777" w:rsidR="00921CF4" w:rsidRDefault="00921CF4" w:rsidP="00EF0191">
      <w:pPr>
        <w:contextualSpacing/>
        <w:jc w:val="center"/>
        <w:rPr>
          <w:rFonts w:ascii="Livvic" w:hAnsi="Livvic"/>
          <w:b/>
          <w:bCs/>
          <w:noProof/>
          <w:sz w:val="14"/>
          <w:szCs w:val="14"/>
        </w:rPr>
      </w:pPr>
    </w:p>
    <w:p w14:paraId="03EAD4BB" w14:textId="77777777" w:rsidR="00921CF4" w:rsidRDefault="00921CF4" w:rsidP="00EF0191">
      <w:pPr>
        <w:contextualSpacing/>
        <w:jc w:val="center"/>
        <w:rPr>
          <w:rFonts w:ascii="Livvic" w:hAnsi="Livvic"/>
          <w:b/>
          <w:bCs/>
          <w:noProof/>
          <w:sz w:val="14"/>
          <w:szCs w:val="14"/>
        </w:rPr>
      </w:pPr>
    </w:p>
    <w:p w14:paraId="205C6CAD" w14:textId="77777777" w:rsidR="00921CF4" w:rsidRDefault="00921CF4" w:rsidP="00EF0191">
      <w:pPr>
        <w:contextualSpacing/>
        <w:jc w:val="center"/>
        <w:rPr>
          <w:rFonts w:ascii="Livvic" w:hAnsi="Livvic"/>
          <w:b/>
          <w:bCs/>
          <w:noProof/>
          <w:sz w:val="14"/>
          <w:szCs w:val="14"/>
        </w:rPr>
      </w:pPr>
    </w:p>
    <w:p w14:paraId="6D000462" w14:textId="77777777" w:rsidR="00921CF4" w:rsidRDefault="00921CF4" w:rsidP="00EF0191">
      <w:pPr>
        <w:contextualSpacing/>
        <w:jc w:val="center"/>
        <w:rPr>
          <w:rFonts w:ascii="Livvic" w:hAnsi="Livvic"/>
          <w:b/>
          <w:bCs/>
          <w:noProof/>
          <w:sz w:val="14"/>
          <w:szCs w:val="14"/>
        </w:rPr>
      </w:pPr>
    </w:p>
    <w:p w14:paraId="1F434007" w14:textId="77777777" w:rsidR="00921CF4" w:rsidRDefault="00921CF4" w:rsidP="00EF0191">
      <w:pPr>
        <w:contextualSpacing/>
        <w:jc w:val="center"/>
        <w:rPr>
          <w:rFonts w:ascii="Livvic" w:hAnsi="Livvic"/>
          <w:b/>
          <w:bCs/>
          <w:noProof/>
          <w:sz w:val="14"/>
          <w:szCs w:val="14"/>
        </w:rPr>
      </w:pPr>
    </w:p>
    <w:p w14:paraId="6B34F603" w14:textId="77777777" w:rsidR="00921CF4" w:rsidRDefault="00921CF4" w:rsidP="00EF0191">
      <w:pPr>
        <w:contextualSpacing/>
        <w:jc w:val="center"/>
        <w:rPr>
          <w:rFonts w:ascii="Livvic" w:hAnsi="Livvic"/>
          <w:b/>
          <w:bCs/>
          <w:noProof/>
          <w:sz w:val="14"/>
          <w:szCs w:val="14"/>
        </w:rPr>
      </w:pPr>
    </w:p>
    <w:p w14:paraId="3CD00C8C" w14:textId="77777777" w:rsidR="00921CF4" w:rsidRDefault="00921CF4" w:rsidP="00EF0191">
      <w:pPr>
        <w:contextualSpacing/>
        <w:jc w:val="center"/>
        <w:rPr>
          <w:rFonts w:ascii="Livvic" w:hAnsi="Livvic"/>
          <w:b/>
          <w:bCs/>
          <w:noProof/>
          <w:sz w:val="14"/>
          <w:szCs w:val="14"/>
        </w:rPr>
      </w:pPr>
    </w:p>
    <w:p w14:paraId="47A93A00" w14:textId="77777777" w:rsidR="00921CF4" w:rsidRDefault="00921CF4" w:rsidP="00EF0191">
      <w:pPr>
        <w:contextualSpacing/>
        <w:jc w:val="center"/>
        <w:rPr>
          <w:rFonts w:ascii="Livvic" w:hAnsi="Livvic"/>
          <w:b/>
          <w:bCs/>
          <w:noProof/>
          <w:sz w:val="14"/>
          <w:szCs w:val="14"/>
        </w:rPr>
      </w:pPr>
    </w:p>
    <w:p w14:paraId="53002EC8" w14:textId="77777777" w:rsidR="00921CF4" w:rsidRDefault="00921CF4" w:rsidP="00EF0191">
      <w:pPr>
        <w:contextualSpacing/>
        <w:jc w:val="center"/>
        <w:rPr>
          <w:rFonts w:ascii="Livvic" w:hAnsi="Livvic"/>
          <w:b/>
          <w:bCs/>
          <w:noProof/>
          <w:sz w:val="14"/>
          <w:szCs w:val="14"/>
        </w:rPr>
      </w:pPr>
    </w:p>
    <w:p w14:paraId="763BC78D" w14:textId="77777777" w:rsidR="00921CF4" w:rsidRDefault="00921CF4" w:rsidP="00EF0191">
      <w:pPr>
        <w:contextualSpacing/>
        <w:jc w:val="center"/>
        <w:rPr>
          <w:rFonts w:ascii="Livvic" w:hAnsi="Livvic"/>
          <w:b/>
          <w:bCs/>
          <w:noProof/>
          <w:sz w:val="14"/>
          <w:szCs w:val="14"/>
        </w:rPr>
      </w:pPr>
    </w:p>
    <w:p w14:paraId="784EB73D" w14:textId="77777777" w:rsidR="00921CF4" w:rsidRDefault="00921CF4" w:rsidP="00EF0191">
      <w:pPr>
        <w:contextualSpacing/>
        <w:jc w:val="center"/>
        <w:rPr>
          <w:rFonts w:ascii="Livvic" w:hAnsi="Livvic"/>
          <w:b/>
          <w:bCs/>
          <w:noProof/>
          <w:sz w:val="14"/>
          <w:szCs w:val="14"/>
        </w:rPr>
      </w:pPr>
    </w:p>
    <w:p w14:paraId="57668488" w14:textId="77777777" w:rsidR="00921CF4" w:rsidRDefault="00921CF4" w:rsidP="00EF0191">
      <w:pPr>
        <w:contextualSpacing/>
        <w:jc w:val="center"/>
        <w:rPr>
          <w:rFonts w:ascii="Livvic" w:hAnsi="Livvic"/>
          <w:b/>
          <w:bCs/>
          <w:noProof/>
          <w:sz w:val="14"/>
          <w:szCs w:val="14"/>
        </w:rPr>
      </w:pPr>
    </w:p>
    <w:p w14:paraId="30D94A2E" w14:textId="77777777" w:rsidR="00921CF4" w:rsidRDefault="00921CF4" w:rsidP="00EF0191">
      <w:pPr>
        <w:contextualSpacing/>
        <w:jc w:val="center"/>
        <w:rPr>
          <w:rFonts w:ascii="Livvic" w:hAnsi="Livvic"/>
          <w:b/>
          <w:bCs/>
          <w:noProof/>
          <w:sz w:val="14"/>
          <w:szCs w:val="14"/>
        </w:rPr>
      </w:pPr>
    </w:p>
    <w:p w14:paraId="5912F1AC" w14:textId="77777777" w:rsidR="00921CF4" w:rsidRDefault="00921CF4" w:rsidP="00EF0191">
      <w:pPr>
        <w:contextualSpacing/>
        <w:jc w:val="center"/>
        <w:rPr>
          <w:rFonts w:ascii="Livvic" w:hAnsi="Livvic"/>
          <w:b/>
          <w:bCs/>
          <w:noProof/>
          <w:sz w:val="14"/>
          <w:szCs w:val="14"/>
        </w:rPr>
      </w:pPr>
    </w:p>
    <w:p w14:paraId="71DDF618" w14:textId="77777777" w:rsidR="00921CF4" w:rsidRDefault="00921CF4" w:rsidP="00EF0191">
      <w:pPr>
        <w:contextualSpacing/>
        <w:jc w:val="center"/>
        <w:rPr>
          <w:rFonts w:ascii="Livvic" w:hAnsi="Livvic"/>
          <w:b/>
          <w:bCs/>
          <w:noProof/>
          <w:sz w:val="14"/>
          <w:szCs w:val="14"/>
        </w:rPr>
      </w:pPr>
    </w:p>
    <w:p w14:paraId="33AEEFE2" w14:textId="77777777" w:rsidR="00921CF4" w:rsidRDefault="00921CF4" w:rsidP="00EF0191">
      <w:pPr>
        <w:contextualSpacing/>
        <w:jc w:val="center"/>
        <w:rPr>
          <w:rFonts w:ascii="Livvic" w:hAnsi="Livvic"/>
          <w:b/>
          <w:bCs/>
          <w:noProof/>
          <w:sz w:val="14"/>
          <w:szCs w:val="14"/>
        </w:rPr>
      </w:pPr>
    </w:p>
    <w:p w14:paraId="74AA6208" w14:textId="77777777" w:rsidR="00921CF4" w:rsidRDefault="00921CF4" w:rsidP="00EF0191">
      <w:pPr>
        <w:contextualSpacing/>
        <w:jc w:val="center"/>
        <w:rPr>
          <w:rFonts w:ascii="Livvic" w:hAnsi="Livvic"/>
          <w:b/>
          <w:bCs/>
          <w:noProof/>
          <w:sz w:val="14"/>
          <w:szCs w:val="14"/>
        </w:rPr>
      </w:pPr>
    </w:p>
    <w:p w14:paraId="0CA78007" w14:textId="77777777" w:rsidR="00921CF4" w:rsidRDefault="00921CF4" w:rsidP="00EF0191">
      <w:pPr>
        <w:contextualSpacing/>
        <w:jc w:val="center"/>
        <w:rPr>
          <w:rFonts w:ascii="Livvic" w:hAnsi="Livvic"/>
          <w:b/>
          <w:bCs/>
          <w:noProof/>
          <w:sz w:val="14"/>
          <w:szCs w:val="14"/>
        </w:rPr>
      </w:pPr>
    </w:p>
    <w:p w14:paraId="111D022D" w14:textId="77777777" w:rsidR="00921CF4" w:rsidRDefault="00921CF4" w:rsidP="00EF0191">
      <w:pPr>
        <w:contextualSpacing/>
        <w:jc w:val="center"/>
        <w:rPr>
          <w:rFonts w:ascii="Livvic" w:hAnsi="Livvic"/>
          <w:b/>
          <w:bCs/>
          <w:noProof/>
          <w:sz w:val="14"/>
          <w:szCs w:val="14"/>
        </w:rPr>
      </w:pPr>
    </w:p>
    <w:p w14:paraId="2B5FF98B" w14:textId="77777777" w:rsidR="00921CF4" w:rsidRDefault="00921CF4" w:rsidP="00EF0191">
      <w:pPr>
        <w:contextualSpacing/>
        <w:jc w:val="center"/>
        <w:rPr>
          <w:rFonts w:ascii="Livvic" w:hAnsi="Livvic"/>
          <w:b/>
          <w:bCs/>
          <w:noProof/>
          <w:sz w:val="14"/>
          <w:szCs w:val="14"/>
        </w:rPr>
      </w:pPr>
    </w:p>
    <w:p w14:paraId="6F2D5305" w14:textId="20E925E8" w:rsidR="00921CF4" w:rsidRDefault="00DB5CFD" w:rsidP="00EF0191">
      <w:pPr>
        <w:contextualSpacing/>
        <w:jc w:val="center"/>
        <w:rPr>
          <w:rFonts w:ascii="Livvic" w:hAnsi="Livvic"/>
          <w:b/>
          <w:bCs/>
          <w:noProof/>
          <w:sz w:val="14"/>
          <w:szCs w:val="14"/>
        </w:rPr>
      </w:pPr>
      <w:r>
        <w:rPr>
          <w:rFonts w:ascii="Livvic" w:hAnsi="Livvic"/>
          <w:b/>
          <w:bCs/>
          <w:noProof/>
          <w:sz w:val="14"/>
          <w:szCs w:val="14"/>
        </w:rPr>
        <w:t xml:space="preserve">INDAGINE ITALIA LONGEVA - </w:t>
      </w:r>
      <w:r w:rsidR="00921CF4" w:rsidRPr="00921CF4">
        <w:rPr>
          <w:rFonts w:ascii="Livvic" w:hAnsi="Livvic"/>
          <w:b/>
          <w:bCs/>
          <w:noProof/>
          <w:sz w:val="14"/>
          <w:szCs w:val="14"/>
        </w:rPr>
        <w:t xml:space="preserve">Prevalenza di fragilità moderata o grave nelle regioni italiane, divise per anno di analisi. </w:t>
      </w:r>
    </w:p>
    <w:p w14:paraId="3DD2B302" w14:textId="0322F568" w:rsidR="00921CF4" w:rsidRPr="00921CF4" w:rsidRDefault="00921CF4" w:rsidP="00EF0191">
      <w:pPr>
        <w:contextualSpacing/>
        <w:jc w:val="center"/>
        <w:rPr>
          <w:rFonts w:ascii="Livvic" w:hAnsi="Livvic"/>
          <w:noProof/>
          <w:sz w:val="14"/>
          <w:szCs w:val="14"/>
        </w:rPr>
      </w:pPr>
      <w:r w:rsidRPr="00921CF4">
        <w:rPr>
          <w:rFonts w:ascii="Livvic" w:hAnsi="Livvic"/>
          <w:noProof/>
          <w:sz w:val="14"/>
          <w:szCs w:val="14"/>
        </w:rPr>
        <w:t>Il colore identifica, per ogni anno, i valori dal maggiore (rosso) al minore (verde)</w:t>
      </w:r>
    </w:p>
    <w:p w14:paraId="58672D9F" w14:textId="0C4365AA" w:rsidR="00A30955" w:rsidRDefault="007B3267" w:rsidP="004D1F51">
      <w:pPr>
        <w:contextualSpacing/>
        <w:rPr>
          <w:rFonts w:ascii="Livvic" w:hAnsi="Livvic"/>
          <w:b/>
          <w:bCs/>
          <w:noProof/>
          <w:sz w:val="14"/>
          <w:szCs w:val="14"/>
        </w:rPr>
      </w:pPr>
      <w:r w:rsidRPr="00921CF4">
        <w:rPr>
          <w:rFonts w:ascii="Livvic" w:hAnsi="Livvic"/>
          <w:b/>
          <w:bCs/>
          <w:noProof/>
          <w:sz w:val="14"/>
          <w:szCs w:val="14"/>
        </w:rPr>
        <w:t xml:space="preserve"> </w:t>
      </w:r>
    </w:p>
    <w:p w14:paraId="66A0575D" w14:textId="77777777" w:rsidR="007B3267" w:rsidRDefault="007B3267" w:rsidP="004D1F51">
      <w:pPr>
        <w:contextualSpacing/>
        <w:rPr>
          <w:rFonts w:ascii="Livvic" w:hAnsi="Livvic"/>
          <w:b/>
          <w:bCs/>
          <w:noProof/>
          <w:sz w:val="14"/>
          <w:szCs w:val="14"/>
        </w:rPr>
      </w:pPr>
    </w:p>
    <w:p w14:paraId="4EC8F246" w14:textId="2AC787A7" w:rsidR="007B3267" w:rsidRDefault="00921CF4" w:rsidP="00921CF4">
      <w:pPr>
        <w:contextualSpacing/>
        <w:jc w:val="center"/>
        <w:rPr>
          <w:rFonts w:ascii="Livvic" w:hAnsi="Livvic"/>
          <w:b/>
          <w:bCs/>
          <w:noProof/>
          <w:sz w:val="14"/>
          <w:szCs w:val="14"/>
        </w:rPr>
      </w:pPr>
      <w:r>
        <w:rPr>
          <w:rFonts w:ascii="Livvic" w:hAnsi="Livvic"/>
          <w:b/>
          <w:bCs/>
          <w:noProof/>
          <w:sz w:val="14"/>
          <w:szCs w:val="14"/>
        </w:rPr>
        <w:drawing>
          <wp:inline distT="0" distB="0" distL="0" distR="0" wp14:anchorId="43ABE344" wp14:editId="6B772EF0">
            <wp:extent cx="4984628" cy="6866467"/>
            <wp:effectExtent l="0" t="0" r="0" b="4445"/>
            <wp:docPr id="210745287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52873" name="Immagine 2107452873"/>
                    <pic:cNvPicPr/>
                  </pic:nvPicPr>
                  <pic:blipFill>
                    <a:blip r:embed="rId14"/>
                    <a:stretch>
                      <a:fillRect/>
                    </a:stretch>
                  </pic:blipFill>
                  <pic:spPr>
                    <a:xfrm>
                      <a:off x="0" y="0"/>
                      <a:ext cx="5014513" cy="6907635"/>
                    </a:xfrm>
                    <a:prstGeom prst="rect">
                      <a:avLst/>
                    </a:prstGeom>
                  </pic:spPr>
                </pic:pic>
              </a:graphicData>
            </a:graphic>
          </wp:inline>
        </w:drawing>
      </w:r>
    </w:p>
    <w:p w14:paraId="2EEE7A1A" w14:textId="77777777" w:rsidR="007B3267" w:rsidRDefault="007B3267" w:rsidP="004D1F51">
      <w:pPr>
        <w:contextualSpacing/>
        <w:rPr>
          <w:rFonts w:ascii="Livvic" w:hAnsi="Livvic"/>
          <w:b/>
          <w:bCs/>
          <w:noProof/>
          <w:sz w:val="14"/>
          <w:szCs w:val="14"/>
        </w:rPr>
      </w:pPr>
    </w:p>
    <w:p w14:paraId="57EE9C32" w14:textId="77777777" w:rsidR="007B3267" w:rsidRDefault="007B3267" w:rsidP="004D1F51">
      <w:pPr>
        <w:contextualSpacing/>
        <w:rPr>
          <w:rFonts w:ascii="Livvic" w:hAnsi="Livvic"/>
          <w:b/>
          <w:bCs/>
          <w:noProof/>
          <w:sz w:val="14"/>
          <w:szCs w:val="14"/>
        </w:rPr>
      </w:pPr>
    </w:p>
    <w:p w14:paraId="10279377" w14:textId="77777777" w:rsidR="007B3267" w:rsidRDefault="007B3267" w:rsidP="004D1F51">
      <w:pPr>
        <w:contextualSpacing/>
        <w:rPr>
          <w:rFonts w:ascii="Livvic" w:hAnsi="Livvic"/>
          <w:b/>
          <w:bCs/>
          <w:noProof/>
          <w:sz w:val="14"/>
          <w:szCs w:val="14"/>
        </w:rPr>
      </w:pPr>
    </w:p>
    <w:p w14:paraId="145B9E26" w14:textId="77777777" w:rsidR="007B3267" w:rsidRDefault="007B3267" w:rsidP="004D1F51">
      <w:pPr>
        <w:contextualSpacing/>
        <w:rPr>
          <w:rFonts w:ascii="Livvic" w:hAnsi="Livvic"/>
          <w:b/>
          <w:bCs/>
          <w:noProof/>
          <w:sz w:val="14"/>
          <w:szCs w:val="14"/>
        </w:rPr>
      </w:pPr>
    </w:p>
    <w:p w14:paraId="2E730E28" w14:textId="77777777" w:rsidR="007B3267" w:rsidRDefault="007B3267" w:rsidP="004D1F51">
      <w:pPr>
        <w:contextualSpacing/>
        <w:rPr>
          <w:rFonts w:ascii="Livvic" w:hAnsi="Livvic"/>
          <w:b/>
          <w:bCs/>
          <w:noProof/>
          <w:sz w:val="14"/>
          <w:szCs w:val="14"/>
        </w:rPr>
      </w:pPr>
    </w:p>
    <w:p w14:paraId="159627E1" w14:textId="77777777" w:rsidR="007B3267" w:rsidRDefault="007B3267" w:rsidP="004D1F51">
      <w:pPr>
        <w:contextualSpacing/>
        <w:rPr>
          <w:rFonts w:ascii="Livvic" w:hAnsi="Livvic"/>
          <w:b/>
          <w:bCs/>
          <w:noProof/>
          <w:sz w:val="14"/>
          <w:szCs w:val="14"/>
        </w:rPr>
      </w:pPr>
    </w:p>
    <w:p w14:paraId="492CA37E" w14:textId="77777777" w:rsidR="007B3267" w:rsidRDefault="007B3267" w:rsidP="004D1F51">
      <w:pPr>
        <w:contextualSpacing/>
        <w:rPr>
          <w:rFonts w:ascii="Livvic" w:hAnsi="Livvic"/>
          <w:b/>
          <w:bCs/>
          <w:noProof/>
          <w:sz w:val="14"/>
          <w:szCs w:val="14"/>
        </w:rPr>
      </w:pPr>
    </w:p>
    <w:p w14:paraId="30A244C7" w14:textId="77777777" w:rsidR="007B3267" w:rsidRDefault="007B3267" w:rsidP="004D1F51">
      <w:pPr>
        <w:contextualSpacing/>
        <w:rPr>
          <w:rFonts w:ascii="Livvic" w:hAnsi="Livvic"/>
          <w:b/>
          <w:bCs/>
          <w:noProof/>
          <w:sz w:val="14"/>
          <w:szCs w:val="14"/>
        </w:rPr>
      </w:pPr>
    </w:p>
    <w:p w14:paraId="05069D6D" w14:textId="77777777" w:rsidR="007B3267" w:rsidRDefault="007B3267" w:rsidP="004D1F51">
      <w:pPr>
        <w:contextualSpacing/>
        <w:rPr>
          <w:rFonts w:ascii="Livvic" w:hAnsi="Livvic"/>
          <w:b/>
          <w:bCs/>
          <w:noProof/>
          <w:sz w:val="14"/>
          <w:szCs w:val="14"/>
        </w:rPr>
      </w:pPr>
    </w:p>
    <w:p w14:paraId="3BA1ADDA" w14:textId="77777777" w:rsidR="007B3267" w:rsidRDefault="007B3267" w:rsidP="004D1F51">
      <w:pPr>
        <w:contextualSpacing/>
        <w:rPr>
          <w:rFonts w:ascii="Livvic" w:hAnsi="Livvic"/>
          <w:b/>
          <w:bCs/>
          <w:noProof/>
          <w:sz w:val="14"/>
          <w:szCs w:val="14"/>
        </w:rPr>
      </w:pPr>
    </w:p>
    <w:p w14:paraId="53B530B8" w14:textId="77777777" w:rsidR="007B3267" w:rsidRDefault="007B3267" w:rsidP="004D1F51">
      <w:pPr>
        <w:contextualSpacing/>
        <w:rPr>
          <w:rFonts w:ascii="Livvic" w:hAnsi="Livvic"/>
          <w:b/>
          <w:bCs/>
          <w:noProof/>
          <w:sz w:val="14"/>
          <w:szCs w:val="14"/>
        </w:rPr>
      </w:pPr>
    </w:p>
    <w:p w14:paraId="48C17E07" w14:textId="77777777" w:rsidR="007B3267" w:rsidRDefault="007B3267" w:rsidP="004D1F51">
      <w:pPr>
        <w:contextualSpacing/>
        <w:rPr>
          <w:rFonts w:ascii="Livvic" w:hAnsi="Livvic"/>
          <w:b/>
          <w:bCs/>
          <w:noProof/>
          <w:sz w:val="14"/>
          <w:szCs w:val="14"/>
        </w:rPr>
      </w:pPr>
    </w:p>
    <w:p w14:paraId="7B7A5A8E" w14:textId="77777777" w:rsidR="007B3267" w:rsidRDefault="007B3267" w:rsidP="004D1F51">
      <w:pPr>
        <w:contextualSpacing/>
        <w:rPr>
          <w:rFonts w:ascii="Livvic" w:hAnsi="Livvic"/>
          <w:b/>
          <w:bCs/>
          <w:noProof/>
          <w:sz w:val="14"/>
          <w:szCs w:val="14"/>
        </w:rPr>
      </w:pPr>
    </w:p>
    <w:p w14:paraId="4C20A0EA" w14:textId="2C182F60" w:rsidR="00A30955" w:rsidRDefault="00A30955" w:rsidP="00EF0191">
      <w:pPr>
        <w:contextualSpacing/>
        <w:jc w:val="center"/>
        <w:rPr>
          <w:rFonts w:ascii="Livvic Light" w:hAnsi="Livvic Light" w:cs="Calibri Light"/>
          <w:noProof/>
          <w:sz w:val="21"/>
          <w:szCs w:val="21"/>
        </w:rPr>
      </w:pPr>
    </w:p>
    <w:p w14:paraId="6F0A733B" w14:textId="0740D8C1" w:rsidR="00921CF4" w:rsidRDefault="00DB5CFD" w:rsidP="00921CF4">
      <w:pPr>
        <w:contextualSpacing/>
        <w:rPr>
          <w:rFonts w:ascii="Livvic" w:hAnsi="Livvic"/>
          <w:b/>
          <w:bCs/>
          <w:noProof/>
          <w:sz w:val="14"/>
          <w:szCs w:val="14"/>
        </w:rPr>
      </w:pPr>
      <w:r>
        <w:rPr>
          <w:rFonts w:ascii="Livvic" w:hAnsi="Livvic"/>
          <w:b/>
          <w:bCs/>
          <w:noProof/>
          <w:sz w:val="14"/>
          <w:szCs w:val="14"/>
        </w:rPr>
        <w:t xml:space="preserve">INDAGINE ITALIA LONGEVA </w:t>
      </w:r>
      <w:r w:rsidR="00921CF4">
        <w:rPr>
          <w:rFonts w:ascii="Livvic" w:hAnsi="Livvic"/>
          <w:b/>
          <w:bCs/>
          <w:noProof/>
          <w:sz w:val="14"/>
          <w:szCs w:val="14"/>
        </w:rPr>
        <w:t xml:space="preserve">- </w:t>
      </w:r>
      <w:r w:rsidR="00921CF4" w:rsidRPr="00921CF4">
        <w:rPr>
          <w:rFonts w:ascii="Livvic" w:hAnsi="Livvic"/>
          <w:b/>
          <w:bCs/>
          <w:noProof/>
          <w:sz w:val="14"/>
          <w:szCs w:val="14"/>
        </w:rPr>
        <w:t>Rapporto tra percentuale di persone over 65 riceventi ADI o residenti in RSA e percentuale di individui con fragilità severa della stessa fascia di età</w:t>
      </w:r>
    </w:p>
    <w:p w14:paraId="3471109E" w14:textId="77777777" w:rsidR="00921CF4" w:rsidRDefault="00921CF4" w:rsidP="00A30955">
      <w:pPr>
        <w:contextualSpacing/>
        <w:jc w:val="right"/>
        <w:rPr>
          <w:rFonts w:ascii="Livvic" w:hAnsi="Livvic"/>
          <w:b/>
          <w:bCs/>
          <w:noProof/>
          <w:sz w:val="14"/>
          <w:szCs w:val="14"/>
        </w:rPr>
      </w:pPr>
    </w:p>
    <w:p w14:paraId="53D85AF6" w14:textId="77777777" w:rsidR="00A30955" w:rsidRDefault="00A30955" w:rsidP="00EF0191">
      <w:pPr>
        <w:contextualSpacing/>
        <w:jc w:val="center"/>
        <w:rPr>
          <w:rFonts w:ascii="Livvic Light" w:hAnsi="Livvic Light" w:cs="Calibri Light"/>
          <w:noProof/>
          <w:sz w:val="21"/>
          <w:szCs w:val="21"/>
        </w:rPr>
      </w:pPr>
    </w:p>
    <w:p w14:paraId="7D2A54DF" w14:textId="77936C48" w:rsidR="00EF0191" w:rsidRDefault="00EF0191" w:rsidP="00A30955">
      <w:pPr>
        <w:contextualSpacing/>
        <w:jc w:val="center"/>
        <w:rPr>
          <w:rFonts w:ascii="Livvic Light" w:hAnsi="Livvic Light" w:cs="Calibri Light"/>
          <w:noProof/>
          <w:sz w:val="21"/>
          <w:szCs w:val="21"/>
        </w:rPr>
      </w:pPr>
      <w:r>
        <w:rPr>
          <w:noProof/>
        </w:rPr>
        <w:drawing>
          <wp:inline distT="0" distB="0" distL="0" distR="0" wp14:anchorId="1476A611" wp14:editId="5B3BBE27">
            <wp:extent cx="3412066" cy="4942559"/>
            <wp:effectExtent l="0" t="0" r="4445" b="0"/>
            <wp:docPr id="5" name="Picture 5" descr="A map of italy with different colored stat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map of italy with different colored stat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0720" cy="4998551"/>
                    </a:xfrm>
                    <a:prstGeom prst="rect">
                      <a:avLst/>
                    </a:prstGeom>
                    <a:noFill/>
                    <a:ln>
                      <a:noFill/>
                    </a:ln>
                  </pic:spPr>
                </pic:pic>
              </a:graphicData>
            </a:graphic>
          </wp:inline>
        </w:drawing>
      </w:r>
    </w:p>
    <w:sectPr w:rsidR="00EF0191" w:rsidSect="00F84586">
      <w:headerReference w:type="default" r:id="rId16"/>
      <w:pgSz w:w="11906" w:h="16838"/>
      <w:pgMar w:top="1134" w:right="907" w:bottom="1077" w:left="907"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CBEE" w14:textId="77777777" w:rsidR="00D133F0" w:rsidRDefault="00D133F0" w:rsidP="00A41B8E">
      <w:r>
        <w:separator/>
      </w:r>
    </w:p>
  </w:endnote>
  <w:endnote w:type="continuationSeparator" w:id="0">
    <w:p w14:paraId="0269E881" w14:textId="77777777" w:rsidR="00D133F0" w:rsidRDefault="00D133F0" w:rsidP="00A4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Neue-Light">
    <w:panose1 w:val="020004030000000200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OlSt BT">
    <w:altName w:val="GoudyOlSt BT"/>
    <w:panose1 w:val="020B0604020202020204"/>
    <w:charset w:val="00"/>
    <w:family w:val="roman"/>
    <w:notTrueType/>
    <w:pitch w:val="default"/>
    <w:sig w:usb0="00000003" w:usb1="00000000" w:usb2="00000000" w:usb3="00000000" w:csb0="00000001" w:csb1="00000000"/>
  </w:font>
  <w:font w:name="Livvic Light">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ivvic">
    <w:panose1 w:val="00000000000000000000"/>
    <w:charset w:val="4D"/>
    <w:family w:val="auto"/>
    <w:pitch w:val="variable"/>
    <w:sig w:usb0="A00000F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BDD5" w14:textId="77777777" w:rsidR="00D133F0" w:rsidRDefault="00D133F0" w:rsidP="00A41B8E">
      <w:r>
        <w:separator/>
      </w:r>
    </w:p>
  </w:footnote>
  <w:footnote w:type="continuationSeparator" w:id="0">
    <w:p w14:paraId="0FB5F927" w14:textId="77777777" w:rsidR="00D133F0" w:rsidRDefault="00D133F0" w:rsidP="00A4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AD90" w14:textId="0880BAE4" w:rsidR="006612FC" w:rsidRDefault="00752594">
    <w:pPr>
      <w:pStyle w:val="Intestazione"/>
    </w:pPr>
    <w:r>
      <w:rPr>
        <w:noProof/>
      </w:rPr>
      <w:drawing>
        <wp:anchor distT="0" distB="0" distL="114300" distR="114300" simplePos="0" relativeHeight="251658240" behindDoc="0" locked="0" layoutInCell="1" allowOverlap="1" wp14:anchorId="4AF9D09D" wp14:editId="3E65E3BD">
          <wp:simplePos x="0" y="0"/>
          <wp:positionH relativeFrom="column">
            <wp:posOffset>5510254</wp:posOffset>
          </wp:positionH>
          <wp:positionV relativeFrom="paragraph">
            <wp:posOffset>-155189</wp:posOffset>
          </wp:positionV>
          <wp:extent cx="723600" cy="730800"/>
          <wp:effectExtent l="0" t="0" r="635" b="6350"/>
          <wp:wrapNone/>
          <wp:docPr id="1100364830" name="Immagine 1" descr="Immagine che contiene testo, schermata, simbol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30" name="Immagine 1" descr="Immagine che contiene testo, schermata, simbolo, Carattere&#10;&#10;Descrizione generata automaticamente"/>
                  <pic:cNvPicPr/>
                </pic:nvPicPr>
                <pic:blipFill>
                  <a:blip r:embed="rId1"/>
                  <a:stretch>
                    <a:fillRect/>
                  </a:stretch>
                </pic:blipFill>
                <pic:spPr>
                  <a:xfrm>
                    <a:off x="0" y="0"/>
                    <a:ext cx="723600" cy="730800"/>
                  </a:xfrm>
                  <a:prstGeom prst="rect">
                    <a:avLst/>
                  </a:prstGeom>
                </pic:spPr>
              </pic:pic>
            </a:graphicData>
          </a:graphic>
          <wp14:sizeRelH relativeFrom="margin">
            <wp14:pctWidth>0</wp14:pctWidth>
          </wp14:sizeRelH>
          <wp14:sizeRelV relativeFrom="margin">
            <wp14:pctHeight>0</wp14:pctHeight>
          </wp14:sizeRelV>
        </wp:anchor>
      </w:drawing>
    </w:r>
    <w:r w:rsidR="00D55112">
      <w:rPr>
        <w:noProof/>
      </w:rPr>
      <w:drawing>
        <wp:anchor distT="0" distB="0" distL="114300" distR="114300" simplePos="0" relativeHeight="251656192" behindDoc="1" locked="0" layoutInCell="1" allowOverlap="1" wp14:anchorId="6C4B07EA" wp14:editId="3AFB3196">
          <wp:simplePos x="0" y="0"/>
          <wp:positionH relativeFrom="page">
            <wp:posOffset>923290</wp:posOffset>
          </wp:positionH>
          <wp:positionV relativeFrom="paragraph">
            <wp:posOffset>-20320</wp:posOffset>
          </wp:positionV>
          <wp:extent cx="2771775" cy="544456"/>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781147" cy="546297"/>
                  </a:xfrm>
                  <a:prstGeom prst="rect">
                    <a:avLst/>
                  </a:prstGeom>
                </pic:spPr>
              </pic:pic>
            </a:graphicData>
          </a:graphic>
        </wp:anchor>
      </w:drawing>
    </w:r>
  </w:p>
  <w:p w14:paraId="46E86CC4" w14:textId="37E9341B" w:rsidR="006612FC" w:rsidRDefault="006612FC">
    <w:pPr>
      <w:pStyle w:val="Intestazione"/>
    </w:pPr>
  </w:p>
  <w:p w14:paraId="5DA173EB" w14:textId="09B916C1" w:rsidR="006612FC" w:rsidRPr="00B64205" w:rsidRDefault="006612FC">
    <w:pPr>
      <w:pStyle w:val="Intestazione"/>
      <w:rPr>
        <w:sz w:val="10"/>
        <w:szCs w:val="10"/>
      </w:rPr>
    </w:pPr>
  </w:p>
  <w:p w14:paraId="0CDFF408" w14:textId="1C31F4A5" w:rsidR="009D7000" w:rsidRDefault="009D7000">
    <w:pPr>
      <w:pStyle w:val="Intestazione"/>
    </w:pPr>
  </w:p>
  <w:p w14:paraId="185D69C7" w14:textId="77777777" w:rsidR="00D55112" w:rsidRDefault="00D55112">
    <w:pPr>
      <w:pStyle w:val="Intestazione"/>
      <w:rPr>
        <w:sz w:val="10"/>
        <w:szCs w:val="10"/>
      </w:rPr>
    </w:pPr>
  </w:p>
  <w:p w14:paraId="6768FAA5" w14:textId="77777777" w:rsidR="00921CF4" w:rsidRDefault="00921CF4">
    <w:pPr>
      <w:pStyle w:val="Intestazione"/>
      <w:rPr>
        <w:sz w:val="10"/>
        <w:szCs w:val="10"/>
      </w:rPr>
    </w:pPr>
  </w:p>
  <w:p w14:paraId="4616FF01" w14:textId="77777777" w:rsidR="00921CF4" w:rsidRDefault="00921CF4">
    <w:pPr>
      <w:pStyle w:val="Intestazione"/>
      <w:rPr>
        <w:sz w:val="10"/>
        <w:szCs w:val="10"/>
      </w:rPr>
    </w:pPr>
  </w:p>
  <w:p w14:paraId="52AFAB24" w14:textId="77777777" w:rsidR="006F3A54" w:rsidRPr="00D55112" w:rsidRDefault="006F3A54">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2B4"/>
    <w:multiLevelType w:val="multilevel"/>
    <w:tmpl w:val="C54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25697"/>
    <w:multiLevelType w:val="hybridMultilevel"/>
    <w:tmpl w:val="3DC8AEEE"/>
    <w:lvl w:ilvl="0" w:tplc="FA845A72">
      <w:start w:val="1"/>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5DE5690"/>
    <w:multiLevelType w:val="hybridMultilevel"/>
    <w:tmpl w:val="A64A10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F50A4"/>
    <w:multiLevelType w:val="hybridMultilevel"/>
    <w:tmpl w:val="C95A31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82F64"/>
    <w:multiLevelType w:val="multilevel"/>
    <w:tmpl w:val="ADB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C4C22"/>
    <w:multiLevelType w:val="hybridMultilevel"/>
    <w:tmpl w:val="02C496F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1090874"/>
    <w:multiLevelType w:val="hybridMultilevel"/>
    <w:tmpl w:val="18EC5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0E06A6"/>
    <w:multiLevelType w:val="hybridMultilevel"/>
    <w:tmpl w:val="795672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FE57CD"/>
    <w:multiLevelType w:val="hybridMultilevel"/>
    <w:tmpl w:val="35125D1E"/>
    <w:lvl w:ilvl="0" w:tplc="C43CCD84">
      <w:start w:val="1"/>
      <w:numFmt w:val="bullet"/>
      <w:lvlText w:val="•"/>
      <w:lvlJc w:val="left"/>
      <w:pPr>
        <w:tabs>
          <w:tab w:val="num" w:pos="720"/>
        </w:tabs>
        <w:ind w:left="720" w:hanging="360"/>
      </w:pPr>
      <w:rPr>
        <w:rFonts w:ascii="Arial" w:hAnsi="Arial" w:hint="default"/>
      </w:rPr>
    </w:lvl>
    <w:lvl w:ilvl="1" w:tplc="F404DF62" w:tentative="1">
      <w:start w:val="1"/>
      <w:numFmt w:val="bullet"/>
      <w:lvlText w:val="•"/>
      <w:lvlJc w:val="left"/>
      <w:pPr>
        <w:tabs>
          <w:tab w:val="num" w:pos="1440"/>
        </w:tabs>
        <w:ind w:left="1440" w:hanging="360"/>
      </w:pPr>
      <w:rPr>
        <w:rFonts w:ascii="Arial" w:hAnsi="Arial" w:hint="default"/>
      </w:rPr>
    </w:lvl>
    <w:lvl w:ilvl="2" w:tplc="66AC54C0" w:tentative="1">
      <w:start w:val="1"/>
      <w:numFmt w:val="bullet"/>
      <w:lvlText w:val="•"/>
      <w:lvlJc w:val="left"/>
      <w:pPr>
        <w:tabs>
          <w:tab w:val="num" w:pos="2160"/>
        </w:tabs>
        <w:ind w:left="2160" w:hanging="360"/>
      </w:pPr>
      <w:rPr>
        <w:rFonts w:ascii="Arial" w:hAnsi="Arial" w:hint="default"/>
      </w:rPr>
    </w:lvl>
    <w:lvl w:ilvl="3" w:tplc="A5ECC890" w:tentative="1">
      <w:start w:val="1"/>
      <w:numFmt w:val="bullet"/>
      <w:lvlText w:val="•"/>
      <w:lvlJc w:val="left"/>
      <w:pPr>
        <w:tabs>
          <w:tab w:val="num" w:pos="2880"/>
        </w:tabs>
        <w:ind w:left="2880" w:hanging="360"/>
      </w:pPr>
      <w:rPr>
        <w:rFonts w:ascii="Arial" w:hAnsi="Arial" w:hint="default"/>
      </w:rPr>
    </w:lvl>
    <w:lvl w:ilvl="4" w:tplc="BA747DC6" w:tentative="1">
      <w:start w:val="1"/>
      <w:numFmt w:val="bullet"/>
      <w:lvlText w:val="•"/>
      <w:lvlJc w:val="left"/>
      <w:pPr>
        <w:tabs>
          <w:tab w:val="num" w:pos="3600"/>
        </w:tabs>
        <w:ind w:left="3600" w:hanging="360"/>
      </w:pPr>
      <w:rPr>
        <w:rFonts w:ascii="Arial" w:hAnsi="Arial" w:hint="default"/>
      </w:rPr>
    </w:lvl>
    <w:lvl w:ilvl="5" w:tplc="81306EEE" w:tentative="1">
      <w:start w:val="1"/>
      <w:numFmt w:val="bullet"/>
      <w:lvlText w:val="•"/>
      <w:lvlJc w:val="left"/>
      <w:pPr>
        <w:tabs>
          <w:tab w:val="num" w:pos="4320"/>
        </w:tabs>
        <w:ind w:left="4320" w:hanging="360"/>
      </w:pPr>
      <w:rPr>
        <w:rFonts w:ascii="Arial" w:hAnsi="Arial" w:hint="default"/>
      </w:rPr>
    </w:lvl>
    <w:lvl w:ilvl="6" w:tplc="31724412" w:tentative="1">
      <w:start w:val="1"/>
      <w:numFmt w:val="bullet"/>
      <w:lvlText w:val="•"/>
      <w:lvlJc w:val="left"/>
      <w:pPr>
        <w:tabs>
          <w:tab w:val="num" w:pos="5040"/>
        </w:tabs>
        <w:ind w:left="5040" w:hanging="360"/>
      </w:pPr>
      <w:rPr>
        <w:rFonts w:ascii="Arial" w:hAnsi="Arial" w:hint="default"/>
      </w:rPr>
    </w:lvl>
    <w:lvl w:ilvl="7" w:tplc="E9B2F76C" w:tentative="1">
      <w:start w:val="1"/>
      <w:numFmt w:val="bullet"/>
      <w:lvlText w:val="•"/>
      <w:lvlJc w:val="left"/>
      <w:pPr>
        <w:tabs>
          <w:tab w:val="num" w:pos="5760"/>
        </w:tabs>
        <w:ind w:left="5760" w:hanging="360"/>
      </w:pPr>
      <w:rPr>
        <w:rFonts w:ascii="Arial" w:hAnsi="Arial" w:hint="default"/>
      </w:rPr>
    </w:lvl>
    <w:lvl w:ilvl="8" w:tplc="7F0456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F84BAF"/>
    <w:multiLevelType w:val="hybridMultilevel"/>
    <w:tmpl w:val="581208C4"/>
    <w:lvl w:ilvl="0" w:tplc="04100001">
      <w:start w:val="1"/>
      <w:numFmt w:val="bullet"/>
      <w:lvlText w:val=""/>
      <w:lvlJc w:val="left"/>
      <w:pPr>
        <w:ind w:left="786" w:hanging="360"/>
      </w:pPr>
      <w:rPr>
        <w:rFonts w:ascii="Symbol" w:hAnsi="Symbol" w:hint="default"/>
        <w:b w:val="0"/>
        <w:sz w:val="2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2A05339B"/>
    <w:multiLevelType w:val="hybridMultilevel"/>
    <w:tmpl w:val="04882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B66188"/>
    <w:multiLevelType w:val="hybridMultilevel"/>
    <w:tmpl w:val="DBE447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440886"/>
    <w:multiLevelType w:val="hybridMultilevel"/>
    <w:tmpl w:val="4A040092"/>
    <w:lvl w:ilvl="0" w:tplc="04100005">
      <w:start w:val="1"/>
      <w:numFmt w:val="bullet"/>
      <w:lvlText w:val=""/>
      <w:lvlJc w:val="left"/>
      <w:pPr>
        <w:ind w:left="720" w:hanging="360"/>
      </w:pPr>
      <w:rPr>
        <w:rFonts w:ascii="Wingdings" w:hAnsi="Wingdings" w:hint="default"/>
      </w:rPr>
    </w:lvl>
    <w:lvl w:ilvl="1" w:tplc="5C2A114C">
      <w:numFmt w:val="bullet"/>
      <w:lvlText w:val="-"/>
      <w:lvlJc w:val="left"/>
      <w:pPr>
        <w:ind w:left="1440" w:hanging="360"/>
      </w:pPr>
      <w:rPr>
        <w:rFonts w:ascii="Calibri" w:eastAsiaTheme="minorHAnsi" w:hAnsi="Calibri" w:cs="HelveticaNeue-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EA4D66"/>
    <w:multiLevelType w:val="hybridMultilevel"/>
    <w:tmpl w:val="D3BC79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951A73"/>
    <w:multiLevelType w:val="hybridMultilevel"/>
    <w:tmpl w:val="A76A27B6"/>
    <w:lvl w:ilvl="0" w:tplc="D4660328">
      <w:start w:val="1"/>
      <w:numFmt w:val="bullet"/>
      <w:lvlText w:val="•"/>
      <w:lvlJc w:val="left"/>
      <w:pPr>
        <w:tabs>
          <w:tab w:val="num" w:pos="720"/>
        </w:tabs>
        <w:ind w:left="720" w:hanging="360"/>
      </w:pPr>
      <w:rPr>
        <w:rFonts w:ascii="Arial" w:hAnsi="Arial" w:hint="default"/>
      </w:rPr>
    </w:lvl>
    <w:lvl w:ilvl="1" w:tplc="59405052" w:tentative="1">
      <w:start w:val="1"/>
      <w:numFmt w:val="bullet"/>
      <w:lvlText w:val="•"/>
      <w:lvlJc w:val="left"/>
      <w:pPr>
        <w:tabs>
          <w:tab w:val="num" w:pos="1440"/>
        </w:tabs>
        <w:ind w:left="1440" w:hanging="360"/>
      </w:pPr>
      <w:rPr>
        <w:rFonts w:ascii="Arial" w:hAnsi="Arial" w:hint="default"/>
      </w:rPr>
    </w:lvl>
    <w:lvl w:ilvl="2" w:tplc="CCCAF9C6" w:tentative="1">
      <w:start w:val="1"/>
      <w:numFmt w:val="bullet"/>
      <w:lvlText w:val="•"/>
      <w:lvlJc w:val="left"/>
      <w:pPr>
        <w:tabs>
          <w:tab w:val="num" w:pos="2160"/>
        </w:tabs>
        <w:ind w:left="2160" w:hanging="360"/>
      </w:pPr>
      <w:rPr>
        <w:rFonts w:ascii="Arial" w:hAnsi="Arial" w:hint="default"/>
      </w:rPr>
    </w:lvl>
    <w:lvl w:ilvl="3" w:tplc="ED1005BA" w:tentative="1">
      <w:start w:val="1"/>
      <w:numFmt w:val="bullet"/>
      <w:lvlText w:val="•"/>
      <w:lvlJc w:val="left"/>
      <w:pPr>
        <w:tabs>
          <w:tab w:val="num" w:pos="2880"/>
        </w:tabs>
        <w:ind w:left="2880" w:hanging="360"/>
      </w:pPr>
      <w:rPr>
        <w:rFonts w:ascii="Arial" w:hAnsi="Arial" w:hint="default"/>
      </w:rPr>
    </w:lvl>
    <w:lvl w:ilvl="4" w:tplc="F2A07258" w:tentative="1">
      <w:start w:val="1"/>
      <w:numFmt w:val="bullet"/>
      <w:lvlText w:val="•"/>
      <w:lvlJc w:val="left"/>
      <w:pPr>
        <w:tabs>
          <w:tab w:val="num" w:pos="3600"/>
        </w:tabs>
        <w:ind w:left="3600" w:hanging="360"/>
      </w:pPr>
      <w:rPr>
        <w:rFonts w:ascii="Arial" w:hAnsi="Arial" w:hint="default"/>
      </w:rPr>
    </w:lvl>
    <w:lvl w:ilvl="5" w:tplc="11E00F10" w:tentative="1">
      <w:start w:val="1"/>
      <w:numFmt w:val="bullet"/>
      <w:lvlText w:val="•"/>
      <w:lvlJc w:val="left"/>
      <w:pPr>
        <w:tabs>
          <w:tab w:val="num" w:pos="4320"/>
        </w:tabs>
        <w:ind w:left="4320" w:hanging="360"/>
      </w:pPr>
      <w:rPr>
        <w:rFonts w:ascii="Arial" w:hAnsi="Arial" w:hint="default"/>
      </w:rPr>
    </w:lvl>
    <w:lvl w:ilvl="6" w:tplc="1EBC741E" w:tentative="1">
      <w:start w:val="1"/>
      <w:numFmt w:val="bullet"/>
      <w:lvlText w:val="•"/>
      <w:lvlJc w:val="left"/>
      <w:pPr>
        <w:tabs>
          <w:tab w:val="num" w:pos="5040"/>
        </w:tabs>
        <w:ind w:left="5040" w:hanging="360"/>
      </w:pPr>
      <w:rPr>
        <w:rFonts w:ascii="Arial" w:hAnsi="Arial" w:hint="default"/>
      </w:rPr>
    </w:lvl>
    <w:lvl w:ilvl="7" w:tplc="FE7EE22C" w:tentative="1">
      <w:start w:val="1"/>
      <w:numFmt w:val="bullet"/>
      <w:lvlText w:val="•"/>
      <w:lvlJc w:val="left"/>
      <w:pPr>
        <w:tabs>
          <w:tab w:val="num" w:pos="5760"/>
        </w:tabs>
        <w:ind w:left="5760" w:hanging="360"/>
      </w:pPr>
      <w:rPr>
        <w:rFonts w:ascii="Arial" w:hAnsi="Arial" w:hint="default"/>
      </w:rPr>
    </w:lvl>
    <w:lvl w:ilvl="8" w:tplc="4E8488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926B19"/>
    <w:multiLevelType w:val="hybridMultilevel"/>
    <w:tmpl w:val="E9FAB604"/>
    <w:lvl w:ilvl="0" w:tplc="487AE8D6">
      <w:start w:val="1"/>
      <w:numFmt w:val="bullet"/>
      <w:lvlText w:val=""/>
      <w:lvlJc w:val="left"/>
      <w:pPr>
        <w:tabs>
          <w:tab w:val="num" w:pos="720"/>
        </w:tabs>
        <w:ind w:left="720" w:hanging="360"/>
      </w:pPr>
      <w:rPr>
        <w:rFonts w:ascii="Wingdings" w:hAnsi="Wingdings" w:hint="default"/>
      </w:rPr>
    </w:lvl>
    <w:lvl w:ilvl="1" w:tplc="EE9A4028">
      <w:start w:val="2429"/>
      <w:numFmt w:val="bullet"/>
      <w:lvlText w:val=""/>
      <w:lvlJc w:val="left"/>
      <w:pPr>
        <w:tabs>
          <w:tab w:val="num" w:pos="1440"/>
        </w:tabs>
        <w:ind w:left="1440" w:hanging="360"/>
      </w:pPr>
      <w:rPr>
        <w:rFonts w:ascii="Wingdings" w:hAnsi="Wingdings" w:hint="default"/>
      </w:rPr>
    </w:lvl>
    <w:lvl w:ilvl="2" w:tplc="CBA051CE" w:tentative="1">
      <w:start w:val="1"/>
      <w:numFmt w:val="bullet"/>
      <w:lvlText w:val=""/>
      <w:lvlJc w:val="left"/>
      <w:pPr>
        <w:tabs>
          <w:tab w:val="num" w:pos="2160"/>
        </w:tabs>
        <w:ind w:left="2160" w:hanging="360"/>
      </w:pPr>
      <w:rPr>
        <w:rFonts w:ascii="Wingdings" w:hAnsi="Wingdings" w:hint="default"/>
      </w:rPr>
    </w:lvl>
    <w:lvl w:ilvl="3" w:tplc="A37E91EE" w:tentative="1">
      <w:start w:val="1"/>
      <w:numFmt w:val="bullet"/>
      <w:lvlText w:val=""/>
      <w:lvlJc w:val="left"/>
      <w:pPr>
        <w:tabs>
          <w:tab w:val="num" w:pos="2880"/>
        </w:tabs>
        <w:ind w:left="2880" w:hanging="360"/>
      </w:pPr>
      <w:rPr>
        <w:rFonts w:ascii="Wingdings" w:hAnsi="Wingdings" w:hint="default"/>
      </w:rPr>
    </w:lvl>
    <w:lvl w:ilvl="4" w:tplc="C39A984A" w:tentative="1">
      <w:start w:val="1"/>
      <w:numFmt w:val="bullet"/>
      <w:lvlText w:val=""/>
      <w:lvlJc w:val="left"/>
      <w:pPr>
        <w:tabs>
          <w:tab w:val="num" w:pos="3600"/>
        </w:tabs>
        <w:ind w:left="3600" w:hanging="360"/>
      </w:pPr>
      <w:rPr>
        <w:rFonts w:ascii="Wingdings" w:hAnsi="Wingdings" w:hint="default"/>
      </w:rPr>
    </w:lvl>
    <w:lvl w:ilvl="5" w:tplc="BC467C62" w:tentative="1">
      <w:start w:val="1"/>
      <w:numFmt w:val="bullet"/>
      <w:lvlText w:val=""/>
      <w:lvlJc w:val="left"/>
      <w:pPr>
        <w:tabs>
          <w:tab w:val="num" w:pos="4320"/>
        </w:tabs>
        <w:ind w:left="4320" w:hanging="360"/>
      </w:pPr>
      <w:rPr>
        <w:rFonts w:ascii="Wingdings" w:hAnsi="Wingdings" w:hint="default"/>
      </w:rPr>
    </w:lvl>
    <w:lvl w:ilvl="6" w:tplc="4CA47D8A" w:tentative="1">
      <w:start w:val="1"/>
      <w:numFmt w:val="bullet"/>
      <w:lvlText w:val=""/>
      <w:lvlJc w:val="left"/>
      <w:pPr>
        <w:tabs>
          <w:tab w:val="num" w:pos="5040"/>
        </w:tabs>
        <w:ind w:left="5040" w:hanging="360"/>
      </w:pPr>
      <w:rPr>
        <w:rFonts w:ascii="Wingdings" w:hAnsi="Wingdings" w:hint="default"/>
      </w:rPr>
    </w:lvl>
    <w:lvl w:ilvl="7" w:tplc="72DE40EC" w:tentative="1">
      <w:start w:val="1"/>
      <w:numFmt w:val="bullet"/>
      <w:lvlText w:val=""/>
      <w:lvlJc w:val="left"/>
      <w:pPr>
        <w:tabs>
          <w:tab w:val="num" w:pos="5760"/>
        </w:tabs>
        <w:ind w:left="5760" w:hanging="360"/>
      </w:pPr>
      <w:rPr>
        <w:rFonts w:ascii="Wingdings" w:hAnsi="Wingdings" w:hint="default"/>
      </w:rPr>
    </w:lvl>
    <w:lvl w:ilvl="8" w:tplc="2D963D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36C80"/>
    <w:multiLevelType w:val="hybridMultilevel"/>
    <w:tmpl w:val="6590E3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280ED3"/>
    <w:multiLevelType w:val="hybridMultilevel"/>
    <w:tmpl w:val="EEA264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8CC2CEF"/>
    <w:multiLevelType w:val="hybridMultilevel"/>
    <w:tmpl w:val="28EC3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8011EB"/>
    <w:multiLevelType w:val="hybridMultilevel"/>
    <w:tmpl w:val="4D065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E265EE"/>
    <w:multiLevelType w:val="hybridMultilevel"/>
    <w:tmpl w:val="2452DC52"/>
    <w:lvl w:ilvl="0" w:tplc="1D9C325E">
      <w:start w:val="1"/>
      <w:numFmt w:val="decimal"/>
      <w:lvlText w:val="%1."/>
      <w:lvlJc w:val="left"/>
      <w:pPr>
        <w:ind w:left="720" w:hanging="360"/>
      </w:pPr>
      <w:rPr>
        <w:b w:val="0"/>
        <w:i w:val="0"/>
      </w:rPr>
    </w:lvl>
    <w:lvl w:ilvl="1" w:tplc="DE727C6A">
      <w:start w:val="1"/>
      <w:numFmt w:val="lowerLetter"/>
      <w:lvlText w:val="%2."/>
      <w:lvlJc w:val="left"/>
      <w:pPr>
        <w:ind w:left="1440" w:hanging="360"/>
      </w:pPr>
      <w:rPr>
        <w:b w:val="0"/>
      </w:rPr>
    </w:lvl>
    <w:lvl w:ilvl="2" w:tplc="C95437AA">
      <w:start w:val="1"/>
      <w:numFmt w:val="lowerRoman"/>
      <w:lvlText w:val="%3."/>
      <w:lvlJc w:val="right"/>
      <w:pPr>
        <w:ind w:left="2160" w:hanging="180"/>
      </w:pPr>
      <w:rPr>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7358419">
    <w:abstractNumId w:val="20"/>
  </w:num>
  <w:num w:numId="2" w16cid:durableId="603028211">
    <w:abstractNumId w:val="12"/>
  </w:num>
  <w:num w:numId="3" w16cid:durableId="173620137">
    <w:abstractNumId w:val="11"/>
  </w:num>
  <w:num w:numId="4" w16cid:durableId="1701397447">
    <w:abstractNumId w:val="5"/>
  </w:num>
  <w:num w:numId="5" w16cid:durableId="1099789560">
    <w:abstractNumId w:val="6"/>
  </w:num>
  <w:num w:numId="6" w16cid:durableId="823930183">
    <w:abstractNumId w:val="16"/>
  </w:num>
  <w:num w:numId="7" w16cid:durableId="962149830">
    <w:abstractNumId w:val="7"/>
  </w:num>
  <w:num w:numId="8" w16cid:durableId="1918519477">
    <w:abstractNumId w:val="3"/>
  </w:num>
  <w:num w:numId="9" w16cid:durableId="373888834">
    <w:abstractNumId w:val="2"/>
  </w:num>
  <w:num w:numId="10" w16cid:durableId="1008755884">
    <w:abstractNumId w:val="13"/>
  </w:num>
  <w:num w:numId="11" w16cid:durableId="1241713358">
    <w:abstractNumId w:val="15"/>
  </w:num>
  <w:num w:numId="12" w16cid:durableId="834339683">
    <w:abstractNumId w:val="17"/>
  </w:num>
  <w:num w:numId="13" w16cid:durableId="603419091">
    <w:abstractNumId w:val="8"/>
  </w:num>
  <w:num w:numId="14" w16cid:durableId="1713505101">
    <w:abstractNumId w:val="14"/>
  </w:num>
  <w:num w:numId="15" w16cid:durableId="212276470">
    <w:abstractNumId w:val="1"/>
  </w:num>
  <w:num w:numId="16" w16cid:durableId="10767711">
    <w:abstractNumId w:val="19"/>
  </w:num>
  <w:num w:numId="17" w16cid:durableId="429162165">
    <w:abstractNumId w:val="10"/>
  </w:num>
  <w:num w:numId="18" w16cid:durableId="1232231506">
    <w:abstractNumId w:val="9"/>
  </w:num>
  <w:num w:numId="19" w16cid:durableId="304312793">
    <w:abstractNumId w:val="18"/>
  </w:num>
  <w:num w:numId="20" w16cid:durableId="137695349">
    <w:abstractNumId w:val="0"/>
  </w:num>
  <w:num w:numId="21" w16cid:durableId="212437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11"/>
    <w:rsid w:val="0000176E"/>
    <w:rsid w:val="000029F2"/>
    <w:rsid w:val="000034EF"/>
    <w:rsid w:val="00003873"/>
    <w:rsid w:val="000038B6"/>
    <w:rsid w:val="00004DC6"/>
    <w:rsid w:val="000072A8"/>
    <w:rsid w:val="00020A9A"/>
    <w:rsid w:val="00020F3F"/>
    <w:rsid w:val="000246F9"/>
    <w:rsid w:val="00026164"/>
    <w:rsid w:val="00026346"/>
    <w:rsid w:val="000303D5"/>
    <w:rsid w:val="0003094C"/>
    <w:rsid w:val="00030D96"/>
    <w:rsid w:val="00033A5E"/>
    <w:rsid w:val="00037DFB"/>
    <w:rsid w:val="0004183C"/>
    <w:rsid w:val="00042796"/>
    <w:rsid w:val="000437F0"/>
    <w:rsid w:val="00044805"/>
    <w:rsid w:val="0004537F"/>
    <w:rsid w:val="0004676D"/>
    <w:rsid w:val="0004751C"/>
    <w:rsid w:val="00052827"/>
    <w:rsid w:val="00053CF1"/>
    <w:rsid w:val="0005504B"/>
    <w:rsid w:val="00055E76"/>
    <w:rsid w:val="0005712D"/>
    <w:rsid w:val="00060791"/>
    <w:rsid w:val="00061F22"/>
    <w:rsid w:val="00065167"/>
    <w:rsid w:val="00065B91"/>
    <w:rsid w:val="00065FB8"/>
    <w:rsid w:val="000669AF"/>
    <w:rsid w:val="00066F73"/>
    <w:rsid w:val="00070B2B"/>
    <w:rsid w:val="00074035"/>
    <w:rsid w:val="0007403A"/>
    <w:rsid w:val="00075CCD"/>
    <w:rsid w:val="000766E6"/>
    <w:rsid w:val="00084D98"/>
    <w:rsid w:val="00086B7E"/>
    <w:rsid w:val="0008752F"/>
    <w:rsid w:val="000907C8"/>
    <w:rsid w:val="00090D26"/>
    <w:rsid w:val="00090F82"/>
    <w:rsid w:val="00093656"/>
    <w:rsid w:val="000A0883"/>
    <w:rsid w:val="000A09E9"/>
    <w:rsid w:val="000A12B5"/>
    <w:rsid w:val="000A3E53"/>
    <w:rsid w:val="000A4E0B"/>
    <w:rsid w:val="000A5458"/>
    <w:rsid w:val="000A6E93"/>
    <w:rsid w:val="000A788D"/>
    <w:rsid w:val="000B064E"/>
    <w:rsid w:val="000B0A6E"/>
    <w:rsid w:val="000B3504"/>
    <w:rsid w:val="000B3DAC"/>
    <w:rsid w:val="000B5F83"/>
    <w:rsid w:val="000C0E51"/>
    <w:rsid w:val="000C32C8"/>
    <w:rsid w:val="000E1A0A"/>
    <w:rsid w:val="000E1F0A"/>
    <w:rsid w:val="000E36A5"/>
    <w:rsid w:val="000E4086"/>
    <w:rsid w:val="000E43DC"/>
    <w:rsid w:val="000E5236"/>
    <w:rsid w:val="000E61C5"/>
    <w:rsid w:val="000E6605"/>
    <w:rsid w:val="000E66C1"/>
    <w:rsid w:val="000E678B"/>
    <w:rsid w:val="000F0B2E"/>
    <w:rsid w:val="000F3804"/>
    <w:rsid w:val="000F44F2"/>
    <w:rsid w:val="000F4BC1"/>
    <w:rsid w:val="00100798"/>
    <w:rsid w:val="00101C1F"/>
    <w:rsid w:val="00101E87"/>
    <w:rsid w:val="00102605"/>
    <w:rsid w:val="00103DC6"/>
    <w:rsid w:val="00103DFC"/>
    <w:rsid w:val="00105541"/>
    <w:rsid w:val="0011201E"/>
    <w:rsid w:val="001121B7"/>
    <w:rsid w:val="00114E79"/>
    <w:rsid w:val="00115034"/>
    <w:rsid w:val="001231A4"/>
    <w:rsid w:val="00124CEC"/>
    <w:rsid w:val="0012763A"/>
    <w:rsid w:val="00130358"/>
    <w:rsid w:val="001306B3"/>
    <w:rsid w:val="00131521"/>
    <w:rsid w:val="00134DDC"/>
    <w:rsid w:val="00135C30"/>
    <w:rsid w:val="001375DB"/>
    <w:rsid w:val="00142FB1"/>
    <w:rsid w:val="00147EB6"/>
    <w:rsid w:val="001504D3"/>
    <w:rsid w:val="00151286"/>
    <w:rsid w:val="00152171"/>
    <w:rsid w:val="00153205"/>
    <w:rsid w:val="00154DDA"/>
    <w:rsid w:val="00157073"/>
    <w:rsid w:val="00160B9C"/>
    <w:rsid w:val="001623F7"/>
    <w:rsid w:val="00162520"/>
    <w:rsid w:val="00162DF4"/>
    <w:rsid w:val="00164400"/>
    <w:rsid w:val="00164C21"/>
    <w:rsid w:val="0016632F"/>
    <w:rsid w:val="00172155"/>
    <w:rsid w:val="00173E59"/>
    <w:rsid w:val="00181193"/>
    <w:rsid w:val="00181848"/>
    <w:rsid w:val="00181937"/>
    <w:rsid w:val="001834B3"/>
    <w:rsid w:val="00183BB1"/>
    <w:rsid w:val="00184323"/>
    <w:rsid w:val="001846CA"/>
    <w:rsid w:val="00184F06"/>
    <w:rsid w:val="00190AD0"/>
    <w:rsid w:val="0019271C"/>
    <w:rsid w:val="00193684"/>
    <w:rsid w:val="00193A4E"/>
    <w:rsid w:val="001979DD"/>
    <w:rsid w:val="001A377D"/>
    <w:rsid w:val="001A5355"/>
    <w:rsid w:val="001A660A"/>
    <w:rsid w:val="001A74BC"/>
    <w:rsid w:val="001B1AC8"/>
    <w:rsid w:val="001B5A5E"/>
    <w:rsid w:val="001B6049"/>
    <w:rsid w:val="001C144C"/>
    <w:rsid w:val="001C1E99"/>
    <w:rsid w:val="001D0592"/>
    <w:rsid w:val="001D379A"/>
    <w:rsid w:val="001D5797"/>
    <w:rsid w:val="001D7316"/>
    <w:rsid w:val="001D7452"/>
    <w:rsid w:val="001D7D54"/>
    <w:rsid w:val="001E133B"/>
    <w:rsid w:val="001F316E"/>
    <w:rsid w:val="001F4253"/>
    <w:rsid w:val="001F77F8"/>
    <w:rsid w:val="001F7802"/>
    <w:rsid w:val="002051CE"/>
    <w:rsid w:val="002058EF"/>
    <w:rsid w:val="00206BDF"/>
    <w:rsid w:val="00210265"/>
    <w:rsid w:val="0021080A"/>
    <w:rsid w:val="0021353E"/>
    <w:rsid w:val="00214129"/>
    <w:rsid w:val="002145CC"/>
    <w:rsid w:val="00216050"/>
    <w:rsid w:val="00220398"/>
    <w:rsid w:val="00221547"/>
    <w:rsid w:val="00221BE8"/>
    <w:rsid w:val="0022334D"/>
    <w:rsid w:val="00223714"/>
    <w:rsid w:val="00224E13"/>
    <w:rsid w:val="00225E31"/>
    <w:rsid w:val="002262F9"/>
    <w:rsid w:val="002272AB"/>
    <w:rsid w:val="00227410"/>
    <w:rsid w:val="00233794"/>
    <w:rsid w:val="00234C28"/>
    <w:rsid w:val="00237152"/>
    <w:rsid w:val="0024027B"/>
    <w:rsid w:val="00241099"/>
    <w:rsid w:val="002414C4"/>
    <w:rsid w:val="0024251E"/>
    <w:rsid w:val="0024341A"/>
    <w:rsid w:val="00250B8C"/>
    <w:rsid w:val="00251273"/>
    <w:rsid w:val="00263020"/>
    <w:rsid w:val="00266B91"/>
    <w:rsid w:val="002742D2"/>
    <w:rsid w:val="0027532C"/>
    <w:rsid w:val="00277D26"/>
    <w:rsid w:val="0028191E"/>
    <w:rsid w:val="00281D94"/>
    <w:rsid w:val="00282009"/>
    <w:rsid w:val="0028322D"/>
    <w:rsid w:val="0029078C"/>
    <w:rsid w:val="0029138A"/>
    <w:rsid w:val="00291DAC"/>
    <w:rsid w:val="00291E52"/>
    <w:rsid w:val="002922F1"/>
    <w:rsid w:val="00294FC2"/>
    <w:rsid w:val="00295062"/>
    <w:rsid w:val="00296B75"/>
    <w:rsid w:val="00296D98"/>
    <w:rsid w:val="002976BE"/>
    <w:rsid w:val="00297D11"/>
    <w:rsid w:val="002A025E"/>
    <w:rsid w:val="002A3E96"/>
    <w:rsid w:val="002B33E5"/>
    <w:rsid w:val="002B347C"/>
    <w:rsid w:val="002B4B3B"/>
    <w:rsid w:val="002B4C05"/>
    <w:rsid w:val="002B4F06"/>
    <w:rsid w:val="002B677F"/>
    <w:rsid w:val="002B7065"/>
    <w:rsid w:val="002B7689"/>
    <w:rsid w:val="002B774A"/>
    <w:rsid w:val="002B7A4F"/>
    <w:rsid w:val="002C2F31"/>
    <w:rsid w:val="002C300F"/>
    <w:rsid w:val="002C338A"/>
    <w:rsid w:val="002C50D9"/>
    <w:rsid w:val="002C603E"/>
    <w:rsid w:val="002C614B"/>
    <w:rsid w:val="002C7676"/>
    <w:rsid w:val="002C7AB3"/>
    <w:rsid w:val="002D11B9"/>
    <w:rsid w:val="002D4C5C"/>
    <w:rsid w:val="002E002A"/>
    <w:rsid w:val="002E1A47"/>
    <w:rsid w:val="002E1BED"/>
    <w:rsid w:val="002E234D"/>
    <w:rsid w:val="002E279D"/>
    <w:rsid w:val="002E37EE"/>
    <w:rsid w:val="002E3E7A"/>
    <w:rsid w:val="002E5E0A"/>
    <w:rsid w:val="002E6FF8"/>
    <w:rsid w:val="002F3C20"/>
    <w:rsid w:val="002F4FA8"/>
    <w:rsid w:val="002F518B"/>
    <w:rsid w:val="003008F9"/>
    <w:rsid w:val="00304C39"/>
    <w:rsid w:val="003062DD"/>
    <w:rsid w:val="00306546"/>
    <w:rsid w:val="003102A3"/>
    <w:rsid w:val="0031068B"/>
    <w:rsid w:val="00310816"/>
    <w:rsid w:val="0031104F"/>
    <w:rsid w:val="0031244D"/>
    <w:rsid w:val="00312A89"/>
    <w:rsid w:val="00313783"/>
    <w:rsid w:val="00314C8D"/>
    <w:rsid w:val="00317029"/>
    <w:rsid w:val="00320E05"/>
    <w:rsid w:val="00321F00"/>
    <w:rsid w:val="003229BB"/>
    <w:rsid w:val="0032368B"/>
    <w:rsid w:val="00325F0C"/>
    <w:rsid w:val="00330ADA"/>
    <w:rsid w:val="00331870"/>
    <w:rsid w:val="00332367"/>
    <w:rsid w:val="00334D98"/>
    <w:rsid w:val="00335028"/>
    <w:rsid w:val="00335F48"/>
    <w:rsid w:val="00341EF8"/>
    <w:rsid w:val="0034382C"/>
    <w:rsid w:val="003520F5"/>
    <w:rsid w:val="003523D4"/>
    <w:rsid w:val="003543BD"/>
    <w:rsid w:val="00354819"/>
    <w:rsid w:val="00362C4A"/>
    <w:rsid w:val="0036328C"/>
    <w:rsid w:val="003634B3"/>
    <w:rsid w:val="00364657"/>
    <w:rsid w:val="00373DF8"/>
    <w:rsid w:val="00374563"/>
    <w:rsid w:val="00375273"/>
    <w:rsid w:val="003753B3"/>
    <w:rsid w:val="00376B31"/>
    <w:rsid w:val="003801C2"/>
    <w:rsid w:val="00380BBE"/>
    <w:rsid w:val="00381F82"/>
    <w:rsid w:val="0038244B"/>
    <w:rsid w:val="0038269D"/>
    <w:rsid w:val="00383CD4"/>
    <w:rsid w:val="00385A21"/>
    <w:rsid w:val="0038611C"/>
    <w:rsid w:val="00390C10"/>
    <w:rsid w:val="00392014"/>
    <w:rsid w:val="00393B3B"/>
    <w:rsid w:val="00394B74"/>
    <w:rsid w:val="0039598D"/>
    <w:rsid w:val="00397736"/>
    <w:rsid w:val="003A5375"/>
    <w:rsid w:val="003A542D"/>
    <w:rsid w:val="003B0986"/>
    <w:rsid w:val="003B476B"/>
    <w:rsid w:val="003C29CD"/>
    <w:rsid w:val="003C34A8"/>
    <w:rsid w:val="003C3582"/>
    <w:rsid w:val="003C5D88"/>
    <w:rsid w:val="003C77B7"/>
    <w:rsid w:val="003D1459"/>
    <w:rsid w:val="003D15CE"/>
    <w:rsid w:val="003D2E44"/>
    <w:rsid w:val="003D4117"/>
    <w:rsid w:val="003D4F24"/>
    <w:rsid w:val="003E0B5D"/>
    <w:rsid w:val="003E5719"/>
    <w:rsid w:val="003E6F80"/>
    <w:rsid w:val="003E7A4F"/>
    <w:rsid w:val="003F1EF3"/>
    <w:rsid w:val="003F3FC2"/>
    <w:rsid w:val="0040331D"/>
    <w:rsid w:val="00405BB4"/>
    <w:rsid w:val="00405C50"/>
    <w:rsid w:val="00406045"/>
    <w:rsid w:val="0041305A"/>
    <w:rsid w:val="00413905"/>
    <w:rsid w:val="0041453D"/>
    <w:rsid w:val="00414E50"/>
    <w:rsid w:val="00416F40"/>
    <w:rsid w:val="00417ABE"/>
    <w:rsid w:val="00423D78"/>
    <w:rsid w:val="00425265"/>
    <w:rsid w:val="00426436"/>
    <w:rsid w:val="004306AF"/>
    <w:rsid w:val="00434D4A"/>
    <w:rsid w:val="00436E9F"/>
    <w:rsid w:val="00444532"/>
    <w:rsid w:val="00444E56"/>
    <w:rsid w:val="00447CFF"/>
    <w:rsid w:val="004503FC"/>
    <w:rsid w:val="00451CC0"/>
    <w:rsid w:val="00451F8E"/>
    <w:rsid w:val="00453881"/>
    <w:rsid w:val="00455E54"/>
    <w:rsid w:val="00456F8A"/>
    <w:rsid w:val="0045790B"/>
    <w:rsid w:val="00457C4B"/>
    <w:rsid w:val="0046031B"/>
    <w:rsid w:val="0046208D"/>
    <w:rsid w:val="00465DD5"/>
    <w:rsid w:val="00466A2C"/>
    <w:rsid w:val="004670C2"/>
    <w:rsid w:val="004673D8"/>
    <w:rsid w:val="0046751C"/>
    <w:rsid w:val="004676F1"/>
    <w:rsid w:val="0047252C"/>
    <w:rsid w:val="0047530C"/>
    <w:rsid w:val="00475F01"/>
    <w:rsid w:val="00480BE5"/>
    <w:rsid w:val="00481628"/>
    <w:rsid w:val="004825D2"/>
    <w:rsid w:val="004828FB"/>
    <w:rsid w:val="004866FD"/>
    <w:rsid w:val="0049044C"/>
    <w:rsid w:val="00495FDA"/>
    <w:rsid w:val="0049651D"/>
    <w:rsid w:val="004A3504"/>
    <w:rsid w:val="004A4BEF"/>
    <w:rsid w:val="004A6653"/>
    <w:rsid w:val="004A69F2"/>
    <w:rsid w:val="004B067F"/>
    <w:rsid w:val="004B2310"/>
    <w:rsid w:val="004B34BA"/>
    <w:rsid w:val="004B40DE"/>
    <w:rsid w:val="004B50B6"/>
    <w:rsid w:val="004C0EC8"/>
    <w:rsid w:val="004C2BD4"/>
    <w:rsid w:val="004C5A8A"/>
    <w:rsid w:val="004C6D3F"/>
    <w:rsid w:val="004D0248"/>
    <w:rsid w:val="004D1F51"/>
    <w:rsid w:val="004D6AED"/>
    <w:rsid w:val="004D6E49"/>
    <w:rsid w:val="004D7D46"/>
    <w:rsid w:val="004E4FA1"/>
    <w:rsid w:val="004E6411"/>
    <w:rsid w:val="004E6BA0"/>
    <w:rsid w:val="004E70EA"/>
    <w:rsid w:val="004E75BC"/>
    <w:rsid w:val="004E7A98"/>
    <w:rsid w:val="004F119A"/>
    <w:rsid w:val="004F2F5B"/>
    <w:rsid w:val="004F39FD"/>
    <w:rsid w:val="004F5981"/>
    <w:rsid w:val="004F6221"/>
    <w:rsid w:val="004F7F50"/>
    <w:rsid w:val="005012D8"/>
    <w:rsid w:val="00502F8C"/>
    <w:rsid w:val="0050491D"/>
    <w:rsid w:val="00505779"/>
    <w:rsid w:val="00506A28"/>
    <w:rsid w:val="00507BE0"/>
    <w:rsid w:val="00514C7E"/>
    <w:rsid w:val="00515B7D"/>
    <w:rsid w:val="00517996"/>
    <w:rsid w:val="0052337B"/>
    <w:rsid w:val="00523487"/>
    <w:rsid w:val="00526D19"/>
    <w:rsid w:val="00526EEC"/>
    <w:rsid w:val="00530B47"/>
    <w:rsid w:val="00531496"/>
    <w:rsid w:val="00536013"/>
    <w:rsid w:val="00536135"/>
    <w:rsid w:val="0053637B"/>
    <w:rsid w:val="00541316"/>
    <w:rsid w:val="00541FA9"/>
    <w:rsid w:val="0054613B"/>
    <w:rsid w:val="00547EA5"/>
    <w:rsid w:val="00550901"/>
    <w:rsid w:val="00551D1A"/>
    <w:rsid w:val="00552421"/>
    <w:rsid w:val="00552718"/>
    <w:rsid w:val="0056006E"/>
    <w:rsid w:val="0056123D"/>
    <w:rsid w:val="005615C7"/>
    <w:rsid w:val="00565DD4"/>
    <w:rsid w:val="00566560"/>
    <w:rsid w:val="00566F4B"/>
    <w:rsid w:val="0056704F"/>
    <w:rsid w:val="00567610"/>
    <w:rsid w:val="00572262"/>
    <w:rsid w:val="005735EB"/>
    <w:rsid w:val="00575F8D"/>
    <w:rsid w:val="0058111C"/>
    <w:rsid w:val="005819C4"/>
    <w:rsid w:val="0058325A"/>
    <w:rsid w:val="005835BE"/>
    <w:rsid w:val="00586784"/>
    <w:rsid w:val="00586D51"/>
    <w:rsid w:val="005923C6"/>
    <w:rsid w:val="005931F9"/>
    <w:rsid w:val="005943C1"/>
    <w:rsid w:val="0059503B"/>
    <w:rsid w:val="005A1449"/>
    <w:rsid w:val="005A1754"/>
    <w:rsid w:val="005A298D"/>
    <w:rsid w:val="005A2C3F"/>
    <w:rsid w:val="005A352A"/>
    <w:rsid w:val="005A4A6F"/>
    <w:rsid w:val="005B0D65"/>
    <w:rsid w:val="005B1705"/>
    <w:rsid w:val="005B1E88"/>
    <w:rsid w:val="005B38C7"/>
    <w:rsid w:val="005B56C8"/>
    <w:rsid w:val="005B6256"/>
    <w:rsid w:val="005C15E9"/>
    <w:rsid w:val="005C46ED"/>
    <w:rsid w:val="005C4FC2"/>
    <w:rsid w:val="005D1786"/>
    <w:rsid w:val="005D387C"/>
    <w:rsid w:val="005D3FD8"/>
    <w:rsid w:val="005D593E"/>
    <w:rsid w:val="005D6CED"/>
    <w:rsid w:val="005D7A2F"/>
    <w:rsid w:val="005E0D21"/>
    <w:rsid w:val="005E1481"/>
    <w:rsid w:val="005E2119"/>
    <w:rsid w:val="005E27C8"/>
    <w:rsid w:val="005F04ED"/>
    <w:rsid w:val="005F33A3"/>
    <w:rsid w:val="005F455F"/>
    <w:rsid w:val="005F7E28"/>
    <w:rsid w:val="00601091"/>
    <w:rsid w:val="00601DCC"/>
    <w:rsid w:val="00606946"/>
    <w:rsid w:val="00606B3F"/>
    <w:rsid w:val="00607EDE"/>
    <w:rsid w:val="00611D2E"/>
    <w:rsid w:val="006124BF"/>
    <w:rsid w:val="00612B05"/>
    <w:rsid w:val="00612D3F"/>
    <w:rsid w:val="0061361B"/>
    <w:rsid w:val="00620D3A"/>
    <w:rsid w:val="00625952"/>
    <w:rsid w:val="0062635D"/>
    <w:rsid w:val="00626AAE"/>
    <w:rsid w:val="00627EE5"/>
    <w:rsid w:val="006308D3"/>
    <w:rsid w:val="00631C27"/>
    <w:rsid w:val="00631E74"/>
    <w:rsid w:val="00636AF9"/>
    <w:rsid w:val="00641F9B"/>
    <w:rsid w:val="00643926"/>
    <w:rsid w:val="0064410D"/>
    <w:rsid w:val="006532A2"/>
    <w:rsid w:val="006537C8"/>
    <w:rsid w:val="006553DF"/>
    <w:rsid w:val="00655FCE"/>
    <w:rsid w:val="006612FC"/>
    <w:rsid w:val="0066331E"/>
    <w:rsid w:val="0066396B"/>
    <w:rsid w:val="00664CAC"/>
    <w:rsid w:val="00670F2F"/>
    <w:rsid w:val="00671114"/>
    <w:rsid w:val="00671846"/>
    <w:rsid w:val="00673AF6"/>
    <w:rsid w:val="00674E21"/>
    <w:rsid w:val="006752F4"/>
    <w:rsid w:val="00681802"/>
    <w:rsid w:val="006825B9"/>
    <w:rsid w:val="0068272C"/>
    <w:rsid w:val="006832BF"/>
    <w:rsid w:val="0068602A"/>
    <w:rsid w:val="00686C06"/>
    <w:rsid w:val="00687016"/>
    <w:rsid w:val="006872B5"/>
    <w:rsid w:val="006902B3"/>
    <w:rsid w:val="0069055F"/>
    <w:rsid w:val="00694FA8"/>
    <w:rsid w:val="00696214"/>
    <w:rsid w:val="006A41B5"/>
    <w:rsid w:val="006A4C6D"/>
    <w:rsid w:val="006A7330"/>
    <w:rsid w:val="006A777F"/>
    <w:rsid w:val="006B66DE"/>
    <w:rsid w:val="006B73BF"/>
    <w:rsid w:val="006C50AE"/>
    <w:rsid w:val="006C7562"/>
    <w:rsid w:val="006C7FE1"/>
    <w:rsid w:val="006D0238"/>
    <w:rsid w:val="006D1D11"/>
    <w:rsid w:val="006D213D"/>
    <w:rsid w:val="006D3480"/>
    <w:rsid w:val="006D3913"/>
    <w:rsid w:val="006E09AF"/>
    <w:rsid w:val="006E2841"/>
    <w:rsid w:val="006E2DAF"/>
    <w:rsid w:val="006E2EA4"/>
    <w:rsid w:val="006E3885"/>
    <w:rsid w:val="006E38DF"/>
    <w:rsid w:val="006E6879"/>
    <w:rsid w:val="006E7A36"/>
    <w:rsid w:val="006F02BF"/>
    <w:rsid w:val="006F0CAB"/>
    <w:rsid w:val="006F3112"/>
    <w:rsid w:val="006F3A54"/>
    <w:rsid w:val="00700F65"/>
    <w:rsid w:val="0070303B"/>
    <w:rsid w:val="007050CD"/>
    <w:rsid w:val="00714741"/>
    <w:rsid w:val="0071648D"/>
    <w:rsid w:val="00720B6E"/>
    <w:rsid w:val="00724A03"/>
    <w:rsid w:val="007256CF"/>
    <w:rsid w:val="00727472"/>
    <w:rsid w:val="00727511"/>
    <w:rsid w:val="00727688"/>
    <w:rsid w:val="00731AD0"/>
    <w:rsid w:val="007339A0"/>
    <w:rsid w:val="00737E3A"/>
    <w:rsid w:val="00742F97"/>
    <w:rsid w:val="007435FE"/>
    <w:rsid w:val="007503A8"/>
    <w:rsid w:val="00750CF9"/>
    <w:rsid w:val="00751C8D"/>
    <w:rsid w:val="00752594"/>
    <w:rsid w:val="00752748"/>
    <w:rsid w:val="0075506C"/>
    <w:rsid w:val="007553E3"/>
    <w:rsid w:val="00756D7A"/>
    <w:rsid w:val="00757E35"/>
    <w:rsid w:val="007651EF"/>
    <w:rsid w:val="00765E97"/>
    <w:rsid w:val="00766CAF"/>
    <w:rsid w:val="00767368"/>
    <w:rsid w:val="007679E2"/>
    <w:rsid w:val="00770B07"/>
    <w:rsid w:val="00770E95"/>
    <w:rsid w:val="00771019"/>
    <w:rsid w:val="00772385"/>
    <w:rsid w:val="00773850"/>
    <w:rsid w:val="00773FD6"/>
    <w:rsid w:val="0077517E"/>
    <w:rsid w:val="00775DAC"/>
    <w:rsid w:val="00780D3D"/>
    <w:rsid w:val="00780FC1"/>
    <w:rsid w:val="00784F7D"/>
    <w:rsid w:val="007879EE"/>
    <w:rsid w:val="00791D2C"/>
    <w:rsid w:val="00791F72"/>
    <w:rsid w:val="00794925"/>
    <w:rsid w:val="00797864"/>
    <w:rsid w:val="007A1418"/>
    <w:rsid w:val="007A6FB8"/>
    <w:rsid w:val="007B1DA4"/>
    <w:rsid w:val="007B2666"/>
    <w:rsid w:val="007B3267"/>
    <w:rsid w:val="007B6700"/>
    <w:rsid w:val="007C2174"/>
    <w:rsid w:val="007C2691"/>
    <w:rsid w:val="007C3E3C"/>
    <w:rsid w:val="007C6067"/>
    <w:rsid w:val="007C7035"/>
    <w:rsid w:val="007C706B"/>
    <w:rsid w:val="007C772A"/>
    <w:rsid w:val="007D391F"/>
    <w:rsid w:val="007D55FA"/>
    <w:rsid w:val="007D5ECD"/>
    <w:rsid w:val="007D7234"/>
    <w:rsid w:val="007E0DFF"/>
    <w:rsid w:val="007E37F5"/>
    <w:rsid w:val="007E4665"/>
    <w:rsid w:val="007E4A00"/>
    <w:rsid w:val="007E7FBE"/>
    <w:rsid w:val="007F18AD"/>
    <w:rsid w:val="00801A38"/>
    <w:rsid w:val="00801A3C"/>
    <w:rsid w:val="00804587"/>
    <w:rsid w:val="00804D0E"/>
    <w:rsid w:val="00804F78"/>
    <w:rsid w:val="00815B70"/>
    <w:rsid w:val="00815ED4"/>
    <w:rsid w:val="0081799C"/>
    <w:rsid w:val="00822051"/>
    <w:rsid w:val="0082245E"/>
    <w:rsid w:val="00822B74"/>
    <w:rsid w:val="00827811"/>
    <w:rsid w:val="00827D16"/>
    <w:rsid w:val="00831BDD"/>
    <w:rsid w:val="008337A4"/>
    <w:rsid w:val="0083389D"/>
    <w:rsid w:val="00834065"/>
    <w:rsid w:val="008346CF"/>
    <w:rsid w:val="0084159D"/>
    <w:rsid w:val="008465E7"/>
    <w:rsid w:val="00861C2C"/>
    <w:rsid w:val="0086240A"/>
    <w:rsid w:val="00863432"/>
    <w:rsid w:val="0086434A"/>
    <w:rsid w:val="00865F4F"/>
    <w:rsid w:val="00867DFD"/>
    <w:rsid w:val="00870287"/>
    <w:rsid w:val="00873184"/>
    <w:rsid w:val="0087452F"/>
    <w:rsid w:val="00876558"/>
    <w:rsid w:val="00877D91"/>
    <w:rsid w:val="00880F43"/>
    <w:rsid w:val="00883E35"/>
    <w:rsid w:val="00884333"/>
    <w:rsid w:val="00884427"/>
    <w:rsid w:val="008852D9"/>
    <w:rsid w:val="00885BAD"/>
    <w:rsid w:val="00887C5D"/>
    <w:rsid w:val="00887F07"/>
    <w:rsid w:val="0089344D"/>
    <w:rsid w:val="00896243"/>
    <w:rsid w:val="008A11B8"/>
    <w:rsid w:val="008A38D7"/>
    <w:rsid w:val="008A3E1B"/>
    <w:rsid w:val="008A3E43"/>
    <w:rsid w:val="008A4AF7"/>
    <w:rsid w:val="008A740E"/>
    <w:rsid w:val="008B3ECB"/>
    <w:rsid w:val="008B472F"/>
    <w:rsid w:val="008B60CD"/>
    <w:rsid w:val="008C5885"/>
    <w:rsid w:val="008C58C5"/>
    <w:rsid w:val="008D0538"/>
    <w:rsid w:val="008D0B49"/>
    <w:rsid w:val="008D2932"/>
    <w:rsid w:val="008D3542"/>
    <w:rsid w:val="008D5C51"/>
    <w:rsid w:val="008E002A"/>
    <w:rsid w:val="008E2D43"/>
    <w:rsid w:val="008E6928"/>
    <w:rsid w:val="008F00A2"/>
    <w:rsid w:val="008F1CC5"/>
    <w:rsid w:val="008F45B7"/>
    <w:rsid w:val="008F6922"/>
    <w:rsid w:val="008F7CCA"/>
    <w:rsid w:val="009004F6"/>
    <w:rsid w:val="009008BB"/>
    <w:rsid w:val="00901CE6"/>
    <w:rsid w:val="00901E80"/>
    <w:rsid w:val="009058CE"/>
    <w:rsid w:val="00907F54"/>
    <w:rsid w:val="00910972"/>
    <w:rsid w:val="00911EFD"/>
    <w:rsid w:val="00912473"/>
    <w:rsid w:val="00912B73"/>
    <w:rsid w:val="00913A3D"/>
    <w:rsid w:val="00913B3A"/>
    <w:rsid w:val="00913DB0"/>
    <w:rsid w:val="0091525D"/>
    <w:rsid w:val="0092048E"/>
    <w:rsid w:val="00920F8E"/>
    <w:rsid w:val="009211BE"/>
    <w:rsid w:val="00921CF4"/>
    <w:rsid w:val="00924FC8"/>
    <w:rsid w:val="00925061"/>
    <w:rsid w:val="0092578C"/>
    <w:rsid w:val="009271FB"/>
    <w:rsid w:val="00927CBC"/>
    <w:rsid w:val="009303B9"/>
    <w:rsid w:val="009311CF"/>
    <w:rsid w:val="00932CAD"/>
    <w:rsid w:val="009338C5"/>
    <w:rsid w:val="009339BE"/>
    <w:rsid w:val="00933A7A"/>
    <w:rsid w:val="00943159"/>
    <w:rsid w:val="009431C6"/>
    <w:rsid w:val="0094440A"/>
    <w:rsid w:val="009461FB"/>
    <w:rsid w:val="00947D87"/>
    <w:rsid w:val="00950C9A"/>
    <w:rsid w:val="00954358"/>
    <w:rsid w:val="009562F5"/>
    <w:rsid w:val="00957410"/>
    <w:rsid w:val="0096121A"/>
    <w:rsid w:val="00961D3F"/>
    <w:rsid w:val="00962A00"/>
    <w:rsid w:val="00963489"/>
    <w:rsid w:val="00965C6A"/>
    <w:rsid w:val="0097107F"/>
    <w:rsid w:val="00971BEC"/>
    <w:rsid w:val="00972163"/>
    <w:rsid w:val="00973150"/>
    <w:rsid w:val="009735A2"/>
    <w:rsid w:val="00974DB7"/>
    <w:rsid w:val="00980270"/>
    <w:rsid w:val="00982FCC"/>
    <w:rsid w:val="00985EB6"/>
    <w:rsid w:val="00990902"/>
    <w:rsid w:val="009911D4"/>
    <w:rsid w:val="00992941"/>
    <w:rsid w:val="0099419C"/>
    <w:rsid w:val="00994C95"/>
    <w:rsid w:val="00996FE5"/>
    <w:rsid w:val="009A28C6"/>
    <w:rsid w:val="009A3950"/>
    <w:rsid w:val="009A4A46"/>
    <w:rsid w:val="009A4F6E"/>
    <w:rsid w:val="009A6523"/>
    <w:rsid w:val="009B0C32"/>
    <w:rsid w:val="009B1F79"/>
    <w:rsid w:val="009B1FC0"/>
    <w:rsid w:val="009B3988"/>
    <w:rsid w:val="009B3B8C"/>
    <w:rsid w:val="009B43DC"/>
    <w:rsid w:val="009B7F09"/>
    <w:rsid w:val="009C0888"/>
    <w:rsid w:val="009C1C85"/>
    <w:rsid w:val="009C2543"/>
    <w:rsid w:val="009C26FA"/>
    <w:rsid w:val="009C3750"/>
    <w:rsid w:val="009C6D7F"/>
    <w:rsid w:val="009D085B"/>
    <w:rsid w:val="009D0D21"/>
    <w:rsid w:val="009D1D0B"/>
    <w:rsid w:val="009D1D6F"/>
    <w:rsid w:val="009D63BF"/>
    <w:rsid w:val="009D7000"/>
    <w:rsid w:val="009E5B1C"/>
    <w:rsid w:val="009E6144"/>
    <w:rsid w:val="009E623E"/>
    <w:rsid w:val="009E7B5C"/>
    <w:rsid w:val="009F1205"/>
    <w:rsid w:val="009F2302"/>
    <w:rsid w:val="009F2422"/>
    <w:rsid w:val="009F46EC"/>
    <w:rsid w:val="009F46FD"/>
    <w:rsid w:val="009F4759"/>
    <w:rsid w:val="009F493D"/>
    <w:rsid w:val="009F762B"/>
    <w:rsid w:val="00A03D5C"/>
    <w:rsid w:val="00A049F9"/>
    <w:rsid w:val="00A102DE"/>
    <w:rsid w:val="00A151F6"/>
    <w:rsid w:val="00A15E35"/>
    <w:rsid w:val="00A245B3"/>
    <w:rsid w:val="00A2798A"/>
    <w:rsid w:val="00A30955"/>
    <w:rsid w:val="00A30C56"/>
    <w:rsid w:val="00A31101"/>
    <w:rsid w:val="00A31344"/>
    <w:rsid w:val="00A31E79"/>
    <w:rsid w:val="00A32281"/>
    <w:rsid w:val="00A32F97"/>
    <w:rsid w:val="00A35638"/>
    <w:rsid w:val="00A36163"/>
    <w:rsid w:val="00A36656"/>
    <w:rsid w:val="00A37C21"/>
    <w:rsid w:val="00A41B8E"/>
    <w:rsid w:val="00A425E0"/>
    <w:rsid w:val="00A43D6F"/>
    <w:rsid w:val="00A461B7"/>
    <w:rsid w:val="00A51D25"/>
    <w:rsid w:val="00A538CC"/>
    <w:rsid w:val="00A5411E"/>
    <w:rsid w:val="00A55506"/>
    <w:rsid w:val="00A55527"/>
    <w:rsid w:val="00A56854"/>
    <w:rsid w:val="00A57B28"/>
    <w:rsid w:val="00A605E1"/>
    <w:rsid w:val="00A60C45"/>
    <w:rsid w:val="00A61A70"/>
    <w:rsid w:val="00A62EEB"/>
    <w:rsid w:val="00A657A3"/>
    <w:rsid w:val="00A67623"/>
    <w:rsid w:val="00A70C76"/>
    <w:rsid w:val="00A716BC"/>
    <w:rsid w:val="00A71FCB"/>
    <w:rsid w:val="00A77051"/>
    <w:rsid w:val="00A8025D"/>
    <w:rsid w:val="00A829A3"/>
    <w:rsid w:val="00A853A7"/>
    <w:rsid w:val="00A8649D"/>
    <w:rsid w:val="00A877B0"/>
    <w:rsid w:val="00A915B9"/>
    <w:rsid w:val="00A93587"/>
    <w:rsid w:val="00A93E4F"/>
    <w:rsid w:val="00A94DBB"/>
    <w:rsid w:val="00A9789E"/>
    <w:rsid w:val="00AA2C2E"/>
    <w:rsid w:val="00AA59D0"/>
    <w:rsid w:val="00AB0972"/>
    <w:rsid w:val="00AB338C"/>
    <w:rsid w:val="00AB353A"/>
    <w:rsid w:val="00AB4C98"/>
    <w:rsid w:val="00AB54DE"/>
    <w:rsid w:val="00AB580A"/>
    <w:rsid w:val="00AB5ADB"/>
    <w:rsid w:val="00AB70B1"/>
    <w:rsid w:val="00AC069B"/>
    <w:rsid w:val="00AC17C3"/>
    <w:rsid w:val="00AC3F8A"/>
    <w:rsid w:val="00AC3FB7"/>
    <w:rsid w:val="00AC7922"/>
    <w:rsid w:val="00AC7D54"/>
    <w:rsid w:val="00AD073E"/>
    <w:rsid w:val="00AD4EFD"/>
    <w:rsid w:val="00AD5CA3"/>
    <w:rsid w:val="00AE2C59"/>
    <w:rsid w:val="00AE622C"/>
    <w:rsid w:val="00AE7A70"/>
    <w:rsid w:val="00AE7BEE"/>
    <w:rsid w:val="00AF1010"/>
    <w:rsid w:val="00AF180D"/>
    <w:rsid w:val="00AF3415"/>
    <w:rsid w:val="00AF51C5"/>
    <w:rsid w:val="00AF720F"/>
    <w:rsid w:val="00B04693"/>
    <w:rsid w:val="00B0688E"/>
    <w:rsid w:val="00B07A3F"/>
    <w:rsid w:val="00B07B00"/>
    <w:rsid w:val="00B10287"/>
    <w:rsid w:val="00B10CA2"/>
    <w:rsid w:val="00B1192E"/>
    <w:rsid w:val="00B20EB6"/>
    <w:rsid w:val="00B22996"/>
    <w:rsid w:val="00B22C62"/>
    <w:rsid w:val="00B2436D"/>
    <w:rsid w:val="00B24A3F"/>
    <w:rsid w:val="00B25D35"/>
    <w:rsid w:val="00B265A6"/>
    <w:rsid w:val="00B34A1C"/>
    <w:rsid w:val="00B4070B"/>
    <w:rsid w:val="00B442D5"/>
    <w:rsid w:val="00B444C6"/>
    <w:rsid w:val="00B470DA"/>
    <w:rsid w:val="00B471C8"/>
    <w:rsid w:val="00B47625"/>
    <w:rsid w:val="00B50569"/>
    <w:rsid w:val="00B52414"/>
    <w:rsid w:val="00B56DCC"/>
    <w:rsid w:val="00B60251"/>
    <w:rsid w:val="00B6031B"/>
    <w:rsid w:val="00B63D16"/>
    <w:rsid w:val="00B63E7D"/>
    <w:rsid w:val="00B64205"/>
    <w:rsid w:val="00B70AB0"/>
    <w:rsid w:val="00B735AE"/>
    <w:rsid w:val="00B735FE"/>
    <w:rsid w:val="00B761FA"/>
    <w:rsid w:val="00B76BE6"/>
    <w:rsid w:val="00B850D9"/>
    <w:rsid w:val="00B8544F"/>
    <w:rsid w:val="00B87368"/>
    <w:rsid w:val="00B87AB3"/>
    <w:rsid w:val="00B90F73"/>
    <w:rsid w:val="00B95394"/>
    <w:rsid w:val="00B97827"/>
    <w:rsid w:val="00B978B0"/>
    <w:rsid w:val="00BA3891"/>
    <w:rsid w:val="00BA57F1"/>
    <w:rsid w:val="00BB2E53"/>
    <w:rsid w:val="00BB44FC"/>
    <w:rsid w:val="00BB66D6"/>
    <w:rsid w:val="00BB754A"/>
    <w:rsid w:val="00BB75EE"/>
    <w:rsid w:val="00BC5817"/>
    <w:rsid w:val="00BC75CB"/>
    <w:rsid w:val="00BD0523"/>
    <w:rsid w:val="00BD05AD"/>
    <w:rsid w:val="00BD1640"/>
    <w:rsid w:val="00BD21EA"/>
    <w:rsid w:val="00BD3757"/>
    <w:rsid w:val="00BD4A81"/>
    <w:rsid w:val="00BD703F"/>
    <w:rsid w:val="00BE03D9"/>
    <w:rsid w:val="00BE2591"/>
    <w:rsid w:val="00BE3692"/>
    <w:rsid w:val="00BF0460"/>
    <w:rsid w:val="00C01320"/>
    <w:rsid w:val="00C03895"/>
    <w:rsid w:val="00C03B4F"/>
    <w:rsid w:val="00C04345"/>
    <w:rsid w:val="00C1256A"/>
    <w:rsid w:val="00C14AC4"/>
    <w:rsid w:val="00C15CD4"/>
    <w:rsid w:val="00C16AB1"/>
    <w:rsid w:val="00C1719E"/>
    <w:rsid w:val="00C20DB7"/>
    <w:rsid w:val="00C2305F"/>
    <w:rsid w:val="00C31F3D"/>
    <w:rsid w:val="00C34137"/>
    <w:rsid w:val="00C34A5B"/>
    <w:rsid w:val="00C34F28"/>
    <w:rsid w:val="00C358E0"/>
    <w:rsid w:val="00C37758"/>
    <w:rsid w:val="00C42882"/>
    <w:rsid w:val="00C42E98"/>
    <w:rsid w:val="00C43527"/>
    <w:rsid w:val="00C4386D"/>
    <w:rsid w:val="00C43C56"/>
    <w:rsid w:val="00C44887"/>
    <w:rsid w:val="00C45A65"/>
    <w:rsid w:val="00C4783F"/>
    <w:rsid w:val="00C509E5"/>
    <w:rsid w:val="00C53D90"/>
    <w:rsid w:val="00C557DB"/>
    <w:rsid w:val="00C56CCB"/>
    <w:rsid w:val="00C57962"/>
    <w:rsid w:val="00C57F63"/>
    <w:rsid w:val="00C601F9"/>
    <w:rsid w:val="00C618B2"/>
    <w:rsid w:val="00C70236"/>
    <w:rsid w:val="00C71866"/>
    <w:rsid w:val="00C720DD"/>
    <w:rsid w:val="00C7305D"/>
    <w:rsid w:val="00C73459"/>
    <w:rsid w:val="00C8295B"/>
    <w:rsid w:val="00C8301E"/>
    <w:rsid w:val="00C83A81"/>
    <w:rsid w:val="00C8428D"/>
    <w:rsid w:val="00C855DD"/>
    <w:rsid w:val="00C857CB"/>
    <w:rsid w:val="00C902CF"/>
    <w:rsid w:val="00C92716"/>
    <w:rsid w:val="00C93C6C"/>
    <w:rsid w:val="00C95C87"/>
    <w:rsid w:val="00C961B7"/>
    <w:rsid w:val="00C9786B"/>
    <w:rsid w:val="00CA0522"/>
    <w:rsid w:val="00CB0C06"/>
    <w:rsid w:val="00CB1801"/>
    <w:rsid w:val="00CB1F96"/>
    <w:rsid w:val="00CB2BA5"/>
    <w:rsid w:val="00CB3F92"/>
    <w:rsid w:val="00CC0596"/>
    <w:rsid w:val="00CC09C7"/>
    <w:rsid w:val="00CC0A5D"/>
    <w:rsid w:val="00CC34B5"/>
    <w:rsid w:val="00CC3C84"/>
    <w:rsid w:val="00CC431D"/>
    <w:rsid w:val="00CC4547"/>
    <w:rsid w:val="00CC5103"/>
    <w:rsid w:val="00CC6412"/>
    <w:rsid w:val="00CC7855"/>
    <w:rsid w:val="00CD22CD"/>
    <w:rsid w:val="00CD2E7C"/>
    <w:rsid w:val="00CD5747"/>
    <w:rsid w:val="00CD5D57"/>
    <w:rsid w:val="00CD6D6C"/>
    <w:rsid w:val="00CE0E3A"/>
    <w:rsid w:val="00CE381B"/>
    <w:rsid w:val="00CE3FC4"/>
    <w:rsid w:val="00CE7FEF"/>
    <w:rsid w:val="00CF13C4"/>
    <w:rsid w:val="00CF4776"/>
    <w:rsid w:val="00CF52D2"/>
    <w:rsid w:val="00CF686B"/>
    <w:rsid w:val="00D02016"/>
    <w:rsid w:val="00D02747"/>
    <w:rsid w:val="00D0508F"/>
    <w:rsid w:val="00D116A1"/>
    <w:rsid w:val="00D11796"/>
    <w:rsid w:val="00D133F0"/>
    <w:rsid w:val="00D14266"/>
    <w:rsid w:val="00D1691F"/>
    <w:rsid w:val="00D24E81"/>
    <w:rsid w:val="00D25781"/>
    <w:rsid w:val="00D31BCC"/>
    <w:rsid w:val="00D341E9"/>
    <w:rsid w:val="00D345DA"/>
    <w:rsid w:val="00D4185F"/>
    <w:rsid w:val="00D41FB1"/>
    <w:rsid w:val="00D4317F"/>
    <w:rsid w:val="00D435CC"/>
    <w:rsid w:val="00D439CB"/>
    <w:rsid w:val="00D45147"/>
    <w:rsid w:val="00D50D36"/>
    <w:rsid w:val="00D5194D"/>
    <w:rsid w:val="00D528B2"/>
    <w:rsid w:val="00D54FDA"/>
    <w:rsid w:val="00D55112"/>
    <w:rsid w:val="00D55391"/>
    <w:rsid w:val="00D564BA"/>
    <w:rsid w:val="00D56CEC"/>
    <w:rsid w:val="00D57F65"/>
    <w:rsid w:val="00D604D2"/>
    <w:rsid w:val="00D61CA9"/>
    <w:rsid w:val="00D62CFF"/>
    <w:rsid w:val="00D65A1B"/>
    <w:rsid w:val="00D706BE"/>
    <w:rsid w:val="00D72512"/>
    <w:rsid w:val="00D7500E"/>
    <w:rsid w:val="00D80E24"/>
    <w:rsid w:val="00D8132D"/>
    <w:rsid w:val="00D82234"/>
    <w:rsid w:val="00D82F3A"/>
    <w:rsid w:val="00D83110"/>
    <w:rsid w:val="00D83483"/>
    <w:rsid w:val="00D84EBF"/>
    <w:rsid w:val="00D865A9"/>
    <w:rsid w:val="00D86891"/>
    <w:rsid w:val="00D93FCC"/>
    <w:rsid w:val="00D95CDC"/>
    <w:rsid w:val="00D96BC0"/>
    <w:rsid w:val="00D9739A"/>
    <w:rsid w:val="00DA0F84"/>
    <w:rsid w:val="00DA1176"/>
    <w:rsid w:val="00DA534A"/>
    <w:rsid w:val="00DA53B0"/>
    <w:rsid w:val="00DA7CE3"/>
    <w:rsid w:val="00DB01BC"/>
    <w:rsid w:val="00DB24CE"/>
    <w:rsid w:val="00DB5CFD"/>
    <w:rsid w:val="00DB66B0"/>
    <w:rsid w:val="00DB732E"/>
    <w:rsid w:val="00DC22B0"/>
    <w:rsid w:val="00DC6ECB"/>
    <w:rsid w:val="00DD0B27"/>
    <w:rsid w:val="00DD222B"/>
    <w:rsid w:val="00DD648E"/>
    <w:rsid w:val="00DD7616"/>
    <w:rsid w:val="00DE487C"/>
    <w:rsid w:val="00DE5372"/>
    <w:rsid w:val="00DF4F27"/>
    <w:rsid w:val="00DF50F8"/>
    <w:rsid w:val="00DF54C2"/>
    <w:rsid w:val="00E00228"/>
    <w:rsid w:val="00E01DDB"/>
    <w:rsid w:val="00E02A6B"/>
    <w:rsid w:val="00E04D19"/>
    <w:rsid w:val="00E10FAE"/>
    <w:rsid w:val="00E12205"/>
    <w:rsid w:val="00E14685"/>
    <w:rsid w:val="00E17BBA"/>
    <w:rsid w:val="00E22BB4"/>
    <w:rsid w:val="00E234EF"/>
    <w:rsid w:val="00E24C0B"/>
    <w:rsid w:val="00E266E6"/>
    <w:rsid w:val="00E304AC"/>
    <w:rsid w:val="00E30F2E"/>
    <w:rsid w:val="00E32AF7"/>
    <w:rsid w:val="00E3406E"/>
    <w:rsid w:val="00E34617"/>
    <w:rsid w:val="00E353FA"/>
    <w:rsid w:val="00E40C60"/>
    <w:rsid w:val="00E40F76"/>
    <w:rsid w:val="00E41028"/>
    <w:rsid w:val="00E43A54"/>
    <w:rsid w:val="00E459AF"/>
    <w:rsid w:val="00E5109B"/>
    <w:rsid w:val="00E5118C"/>
    <w:rsid w:val="00E51DA2"/>
    <w:rsid w:val="00E529F8"/>
    <w:rsid w:val="00E62EFA"/>
    <w:rsid w:val="00E64FF9"/>
    <w:rsid w:val="00E65EE2"/>
    <w:rsid w:val="00E7484E"/>
    <w:rsid w:val="00E74A38"/>
    <w:rsid w:val="00E74E5A"/>
    <w:rsid w:val="00E752B0"/>
    <w:rsid w:val="00E76864"/>
    <w:rsid w:val="00E80CFB"/>
    <w:rsid w:val="00E811F2"/>
    <w:rsid w:val="00E81A2C"/>
    <w:rsid w:val="00E8316A"/>
    <w:rsid w:val="00E84B11"/>
    <w:rsid w:val="00E863C9"/>
    <w:rsid w:val="00E86C5C"/>
    <w:rsid w:val="00E9553B"/>
    <w:rsid w:val="00E95FEC"/>
    <w:rsid w:val="00EA0241"/>
    <w:rsid w:val="00EA6E37"/>
    <w:rsid w:val="00EA70E9"/>
    <w:rsid w:val="00EB2335"/>
    <w:rsid w:val="00EB4B34"/>
    <w:rsid w:val="00EB7C57"/>
    <w:rsid w:val="00EC0841"/>
    <w:rsid w:val="00EC245D"/>
    <w:rsid w:val="00EC419D"/>
    <w:rsid w:val="00EC6A07"/>
    <w:rsid w:val="00EC72CD"/>
    <w:rsid w:val="00EC7FC0"/>
    <w:rsid w:val="00ED51B5"/>
    <w:rsid w:val="00ED7C7F"/>
    <w:rsid w:val="00EE01C3"/>
    <w:rsid w:val="00EE1463"/>
    <w:rsid w:val="00EE1B93"/>
    <w:rsid w:val="00EE2B59"/>
    <w:rsid w:val="00EE2CB4"/>
    <w:rsid w:val="00EE6AF0"/>
    <w:rsid w:val="00EE7595"/>
    <w:rsid w:val="00EE7FC6"/>
    <w:rsid w:val="00EF012F"/>
    <w:rsid w:val="00EF0191"/>
    <w:rsid w:val="00EF042F"/>
    <w:rsid w:val="00EF0D46"/>
    <w:rsid w:val="00EF5158"/>
    <w:rsid w:val="00EF6A0E"/>
    <w:rsid w:val="00F0034B"/>
    <w:rsid w:val="00F00903"/>
    <w:rsid w:val="00F03611"/>
    <w:rsid w:val="00F05744"/>
    <w:rsid w:val="00F07243"/>
    <w:rsid w:val="00F11696"/>
    <w:rsid w:val="00F11791"/>
    <w:rsid w:val="00F120F8"/>
    <w:rsid w:val="00F14EA2"/>
    <w:rsid w:val="00F16106"/>
    <w:rsid w:val="00F162B9"/>
    <w:rsid w:val="00F245B1"/>
    <w:rsid w:val="00F26FEE"/>
    <w:rsid w:val="00F30771"/>
    <w:rsid w:val="00F314C3"/>
    <w:rsid w:val="00F31523"/>
    <w:rsid w:val="00F32BA7"/>
    <w:rsid w:val="00F335CF"/>
    <w:rsid w:val="00F37D1B"/>
    <w:rsid w:val="00F41570"/>
    <w:rsid w:val="00F42511"/>
    <w:rsid w:val="00F4281C"/>
    <w:rsid w:val="00F430D7"/>
    <w:rsid w:val="00F43D2E"/>
    <w:rsid w:val="00F441BD"/>
    <w:rsid w:val="00F45CC3"/>
    <w:rsid w:val="00F5288B"/>
    <w:rsid w:val="00F537EB"/>
    <w:rsid w:val="00F538D5"/>
    <w:rsid w:val="00F546FC"/>
    <w:rsid w:val="00F559A6"/>
    <w:rsid w:val="00F5723B"/>
    <w:rsid w:val="00F60D6C"/>
    <w:rsid w:val="00F649B9"/>
    <w:rsid w:val="00F72C9D"/>
    <w:rsid w:val="00F73DBA"/>
    <w:rsid w:val="00F74840"/>
    <w:rsid w:val="00F76357"/>
    <w:rsid w:val="00F764A7"/>
    <w:rsid w:val="00F76D9C"/>
    <w:rsid w:val="00F777DC"/>
    <w:rsid w:val="00F77EE7"/>
    <w:rsid w:val="00F81956"/>
    <w:rsid w:val="00F84586"/>
    <w:rsid w:val="00F85F49"/>
    <w:rsid w:val="00F9266C"/>
    <w:rsid w:val="00F92F45"/>
    <w:rsid w:val="00F94DF8"/>
    <w:rsid w:val="00FA10BE"/>
    <w:rsid w:val="00FA4AC5"/>
    <w:rsid w:val="00FA7706"/>
    <w:rsid w:val="00FB11D9"/>
    <w:rsid w:val="00FB4BA9"/>
    <w:rsid w:val="00FB5BC4"/>
    <w:rsid w:val="00FB794D"/>
    <w:rsid w:val="00FB7DBF"/>
    <w:rsid w:val="00FC17AE"/>
    <w:rsid w:val="00FC194D"/>
    <w:rsid w:val="00FC7536"/>
    <w:rsid w:val="00FD0514"/>
    <w:rsid w:val="00FD0803"/>
    <w:rsid w:val="00FD0DF1"/>
    <w:rsid w:val="00FD4795"/>
    <w:rsid w:val="00FD5D9D"/>
    <w:rsid w:val="00FD7659"/>
    <w:rsid w:val="00FE006A"/>
    <w:rsid w:val="00FE04D7"/>
    <w:rsid w:val="00FE095A"/>
    <w:rsid w:val="00FE1DEC"/>
    <w:rsid w:val="00FE2F0A"/>
    <w:rsid w:val="00FE4ACA"/>
    <w:rsid w:val="00FF1B40"/>
    <w:rsid w:val="00FF1CDF"/>
    <w:rsid w:val="00FF2152"/>
    <w:rsid w:val="00FF229C"/>
    <w:rsid w:val="00FF27D2"/>
    <w:rsid w:val="00FF461F"/>
    <w:rsid w:val="00FF4DF4"/>
    <w:rsid w:val="00FF7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EE9F0C"/>
  <w15:docId w15:val="{EB6DC7CB-2EFB-4644-A039-E30C8EFB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461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0F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0F84"/>
    <w:rPr>
      <w:rFonts w:ascii="Tahoma" w:hAnsi="Tahoma" w:cs="Tahoma"/>
      <w:sz w:val="16"/>
      <w:szCs w:val="16"/>
    </w:rPr>
  </w:style>
  <w:style w:type="paragraph" w:styleId="Testonotaapidipagina">
    <w:name w:val="footnote text"/>
    <w:basedOn w:val="Normale"/>
    <w:link w:val="TestonotaapidipaginaCarattere"/>
    <w:uiPriority w:val="99"/>
    <w:unhideWhenUsed/>
    <w:rsid w:val="00A41B8E"/>
    <w:rPr>
      <w:sz w:val="20"/>
      <w:szCs w:val="20"/>
    </w:rPr>
  </w:style>
  <w:style w:type="character" w:customStyle="1" w:styleId="TestonotaapidipaginaCarattere">
    <w:name w:val="Testo nota a piè di pagina Carattere"/>
    <w:basedOn w:val="Carpredefinitoparagrafo"/>
    <w:link w:val="Testonotaapidipagina"/>
    <w:uiPriority w:val="99"/>
    <w:rsid w:val="00A41B8E"/>
    <w:rPr>
      <w:sz w:val="20"/>
      <w:szCs w:val="20"/>
    </w:rPr>
  </w:style>
  <w:style w:type="character" w:styleId="Rimandonotaapidipagina">
    <w:name w:val="footnote reference"/>
    <w:basedOn w:val="Carpredefinitoparagrafo"/>
    <w:uiPriority w:val="99"/>
    <w:unhideWhenUsed/>
    <w:rsid w:val="00A41B8E"/>
    <w:rPr>
      <w:vertAlign w:val="superscript"/>
    </w:rPr>
  </w:style>
  <w:style w:type="character" w:styleId="Collegamentoipertestuale">
    <w:name w:val="Hyperlink"/>
    <w:basedOn w:val="Carpredefinitoparagrafo"/>
    <w:uiPriority w:val="99"/>
    <w:unhideWhenUsed/>
    <w:rsid w:val="00A41B8E"/>
    <w:rPr>
      <w:color w:val="0000FF" w:themeColor="hyperlink"/>
      <w:u w:val="single"/>
    </w:rPr>
  </w:style>
  <w:style w:type="paragraph" w:customStyle="1" w:styleId="Default">
    <w:name w:val="Default"/>
    <w:rsid w:val="00801A38"/>
    <w:pPr>
      <w:autoSpaceDE w:val="0"/>
      <w:autoSpaceDN w:val="0"/>
      <w:adjustRightInd w:val="0"/>
      <w:spacing w:after="0" w:line="240" w:lineRule="auto"/>
    </w:pPr>
    <w:rPr>
      <w:rFonts w:ascii="GoudyOlSt BT" w:hAnsi="GoudyOlSt BT" w:cs="GoudyOlSt BT"/>
      <w:color w:val="000000"/>
      <w:sz w:val="24"/>
      <w:szCs w:val="24"/>
    </w:rPr>
  </w:style>
  <w:style w:type="character" w:customStyle="1" w:styleId="A8">
    <w:name w:val="A8"/>
    <w:uiPriority w:val="99"/>
    <w:rsid w:val="00801A38"/>
    <w:rPr>
      <w:rFonts w:cs="GoudyOlSt BT"/>
      <w:color w:val="211D1E"/>
      <w:sz w:val="11"/>
      <w:szCs w:val="11"/>
    </w:rPr>
  </w:style>
  <w:style w:type="paragraph" w:styleId="Paragrafoelenco">
    <w:name w:val="List Paragraph"/>
    <w:basedOn w:val="Normale"/>
    <w:uiPriority w:val="34"/>
    <w:qFormat/>
    <w:rsid w:val="00724A03"/>
    <w:pPr>
      <w:ind w:left="720"/>
      <w:contextualSpacing/>
    </w:pPr>
  </w:style>
  <w:style w:type="paragraph" w:styleId="Intestazione">
    <w:name w:val="header"/>
    <w:basedOn w:val="Normale"/>
    <w:link w:val="IntestazioneCarattere"/>
    <w:uiPriority w:val="99"/>
    <w:unhideWhenUsed/>
    <w:rsid w:val="00B90F73"/>
    <w:pPr>
      <w:tabs>
        <w:tab w:val="center" w:pos="4819"/>
        <w:tab w:val="right" w:pos="9638"/>
      </w:tabs>
    </w:pPr>
  </w:style>
  <w:style w:type="character" w:customStyle="1" w:styleId="IntestazioneCarattere">
    <w:name w:val="Intestazione Carattere"/>
    <w:basedOn w:val="Carpredefinitoparagrafo"/>
    <w:link w:val="Intestazione"/>
    <w:uiPriority w:val="99"/>
    <w:rsid w:val="00B90F73"/>
  </w:style>
  <w:style w:type="paragraph" w:styleId="Pidipagina">
    <w:name w:val="footer"/>
    <w:basedOn w:val="Normale"/>
    <w:link w:val="PidipaginaCarattere"/>
    <w:uiPriority w:val="99"/>
    <w:unhideWhenUsed/>
    <w:rsid w:val="00B90F73"/>
    <w:pPr>
      <w:tabs>
        <w:tab w:val="center" w:pos="4819"/>
        <w:tab w:val="right" w:pos="9638"/>
      </w:tabs>
    </w:pPr>
  </w:style>
  <w:style w:type="character" w:customStyle="1" w:styleId="PidipaginaCarattere">
    <w:name w:val="Piè di pagina Carattere"/>
    <w:basedOn w:val="Carpredefinitoparagrafo"/>
    <w:link w:val="Pidipagina"/>
    <w:uiPriority w:val="99"/>
    <w:rsid w:val="00B90F73"/>
  </w:style>
  <w:style w:type="character" w:styleId="Rimandocommento">
    <w:name w:val="annotation reference"/>
    <w:basedOn w:val="Carpredefinitoparagrafo"/>
    <w:uiPriority w:val="99"/>
    <w:semiHidden/>
    <w:unhideWhenUsed/>
    <w:rsid w:val="00627EE5"/>
    <w:rPr>
      <w:sz w:val="16"/>
      <w:szCs w:val="16"/>
    </w:rPr>
  </w:style>
  <w:style w:type="paragraph" w:styleId="Testocommento">
    <w:name w:val="annotation text"/>
    <w:basedOn w:val="Normale"/>
    <w:link w:val="TestocommentoCarattere"/>
    <w:uiPriority w:val="99"/>
    <w:semiHidden/>
    <w:unhideWhenUsed/>
    <w:rsid w:val="00627EE5"/>
    <w:rPr>
      <w:sz w:val="20"/>
      <w:szCs w:val="20"/>
    </w:rPr>
  </w:style>
  <w:style w:type="character" w:customStyle="1" w:styleId="TestocommentoCarattere">
    <w:name w:val="Testo commento Carattere"/>
    <w:basedOn w:val="Carpredefinitoparagrafo"/>
    <w:link w:val="Testocommento"/>
    <w:uiPriority w:val="99"/>
    <w:semiHidden/>
    <w:rsid w:val="00627EE5"/>
    <w:rPr>
      <w:sz w:val="20"/>
      <w:szCs w:val="20"/>
    </w:rPr>
  </w:style>
  <w:style w:type="paragraph" w:styleId="Soggettocommento">
    <w:name w:val="annotation subject"/>
    <w:basedOn w:val="Testocommento"/>
    <w:next w:val="Testocommento"/>
    <w:link w:val="SoggettocommentoCarattere"/>
    <w:uiPriority w:val="99"/>
    <w:semiHidden/>
    <w:unhideWhenUsed/>
    <w:rsid w:val="00627EE5"/>
    <w:rPr>
      <w:b/>
      <w:bCs/>
    </w:rPr>
  </w:style>
  <w:style w:type="character" w:customStyle="1" w:styleId="SoggettocommentoCarattere">
    <w:name w:val="Soggetto commento Carattere"/>
    <w:basedOn w:val="TestocommentoCarattere"/>
    <w:link w:val="Soggettocommento"/>
    <w:uiPriority w:val="99"/>
    <w:semiHidden/>
    <w:rsid w:val="00627EE5"/>
    <w:rPr>
      <w:b/>
      <w:bCs/>
      <w:sz w:val="20"/>
      <w:szCs w:val="20"/>
    </w:rPr>
  </w:style>
  <w:style w:type="character" w:customStyle="1" w:styleId="Menzionenonrisolta1">
    <w:name w:val="Menzione non risolta1"/>
    <w:basedOn w:val="Carpredefinitoparagrafo"/>
    <w:uiPriority w:val="99"/>
    <w:semiHidden/>
    <w:unhideWhenUsed/>
    <w:rsid w:val="00B8544F"/>
    <w:rPr>
      <w:color w:val="808080"/>
      <w:shd w:val="clear" w:color="auto" w:fill="E6E6E6"/>
    </w:rPr>
  </w:style>
  <w:style w:type="character" w:customStyle="1" w:styleId="Menzionenonrisolta2">
    <w:name w:val="Menzione non risolta2"/>
    <w:basedOn w:val="Carpredefinitoparagrafo"/>
    <w:uiPriority w:val="99"/>
    <w:semiHidden/>
    <w:unhideWhenUsed/>
    <w:rsid w:val="00AE622C"/>
    <w:rPr>
      <w:color w:val="605E5C"/>
      <w:shd w:val="clear" w:color="auto" w:fill="E1DFDD"/>
    </w:rPr>
  </w:style>
  <w:style w:type="character" w:customStyle="1" w:styleId="Menzionenonrisolta3">
    <w:name w:val="Menzione non risolta3"/>
    <w:basedOn w:val="Carpredefinitoparagrafo"/>
    <w:uiPriority w:val="99"/>
    <w:semiHidden/>
    <w:unhideWhenUsed/>
    <w:rsid w:val="00444532"/>
    <w:rPr>
      <w:color w:val="605E5C"/>
      <w:shd w:val="clear" w:color="auto" w:fill="E1DFDD"/>
    </w:rPr>
  </w:style>
  <w:style w:type="character" w:customStyle="1" w:styleId="Menzionenonrisolta4">
    <w:name w:val="Menzione non risolta4"/>
    <w:basedOn w:val="Carpredefinitoparagrafo"/>
    <w:uiPriority w:val="99"/>
    <w:semiHidden/>
    <w:unhideWhenUsed/>
    <w:rsid w:val="00B850D9"/>
    <w:rPr>
      <w:color w:val="605E5C"/>
      <w:shd w:val="clear" w:color="auto" w:fill="E1DFDD"/>
    </w:rPr>
  </w:style>
  <w:style w:type="paragraph" w:styleId="NormaleWeb">
    <w:name w:val="Normal (Web)"/>
    <w:basedOn w:val="Normale"/>
    <w:uiPriority w:val="99"/>
    <w:semiHidden/>
    <w:unhideWhenUsed/>
    <w:rsid w:val="00CE3FC4"/>
    <w:pPr>
      <w:spacing w:before="100" w:beforeAutospacing="1" w:after="100" w:afterAutospacing="1"/>
    </w:pPr>
  </w:style>
  <w:style w:type="character" w:styleId="Enfasicorsivo">
    <w:name w:val="Emphasis"/>
    <w:basedOn w:val="Carpredefinitoparagrafo"/>
    <w:uiPriority w:val="20"/>
    <w:qFormat/>
    <w:rsid w:val="00CE3FC4"/>
    <w:rPr>
      <w:i/>
      <w:iCs/>
    </w:rPr>
  </w:style>
  <w:style w:type="character" w:styleId="Menzionenonrisolta">
    <w:name w:val="Unresolved Mention"/>
    <w:basedOn w:val="Carpredefinitoparagrafo"/>
    <w:uiPriority w:val="99"/>
    <w:semiHidden/>
    <w:unhideWhenUsed/>
    <w:rsid w:val="0068602A"/>
    <w:rPr>
      <w:color w:val="605E5C"/>
      <w:shd w:val="clear" w:color="auto" w:fill="E1DFDD"/>
    </w:rPr>
  </w:style>
  <w:style w:type="character" w:styleId="Enfasigrassetto">
    <w:name w:val="Strong"/>
    <w:basedOn w:val="Carpredefinitoparagrafo"/>
    <w:uiPriority w:val="22"/>
    <w:qFormat/>
    <w:rsid w:val="00DF4F27"/>
    <w:rPr>
      <w:b/>
      <w:bCs/>
    </w:rPr>
  </w:style>
  <w:style w:type="table" w:styleId="Tabellasemplice-3">
    <w:name w:val="Plain Table 3"/>
    <w:basedOn w:val="Tabellanormale"/>
    <w:uiPriority w:val="43"/>
    <w:rsid w:val="00A30955"/>
    <w:pPr>
      <w:spacing w:after="0" w:line="240" w:lineRule="auto"/>
    </w:pPr>
    <w:rPr>
      <w:kern w:val="2"/>
      <w:lang w:val="en-GB"/>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basedOn w:val="Carpredefinitoparagrafo"/>
    <w:rsid w:val="00E3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5296">
      <w:bodyDiv w:val="1"/>
      <w:marLeft w:val="0"/>
      <w:marRight w:val="0"/>
      <w:marTop w:val="0"/>
      <w:marBottom w:val="0"/>
      <w:divBdr>
        <w:top w:val="none" w:sz="0" w:space="0" w:color="auto"/>
        <w:left w:val="none" w:sz="0" w:space="0" w:color="auto"/>
        <w:bottom w:val="none" w:sz="0" w:space="0" w:color="auto"/>
        <w:right w:val="none" w:sz="0" w:space="0" w:color="auto"/>
      </w:divBdr>
    </w:div>
    <w:div w:id="211231265">
      <w:bodyDiv w:val="1"/>
      <w:marLeft w:val="0"/>
      <w:marRight w:val="0"/>
      <w:marTop w:val="0"/>
      <w:marBottom w:val="0"/>
      <w:divBdr>
        <w:top w:val="none" w:sz="0" w:space="0" w:color="auto"/>
        <w:left w:val="none" w:sz="0" w:space="0" w:color="auto"/>
        <w:bottom w:val="none" w:sz="0" w:space="0" w:color="auto"/>
        <w:right w:val="none" w:sz="0" w:space="0" w:color="auto"/>
      </w:divBdr>
    </w:div>
    <w:div w:id="300692158">
      <w:bodyDiv w:val="1"/>
      <w:marLeft w:val="0"/>
      <w:marRight w:val="0"/>
      <w:marTop w:val="0"/>
      <w:marBottom w:val="0"/>
      <w:divBdr>
        <w:top w:val="none" w:sz="0" w:space="0" w:color="auto"/>
        <w:left w:val="none" w:sz="0" w:space="0" w:color="auto"/>
        <w:bottom w:val="none" w:sz="0" w:space="0" w:color="auto"/>
        <w:right w:val="none" w:sz="0" w:space="0" w:color="auto"/>
      </w:divBdr>
      <w:divsChild>
        <w:div w:id="520823314">
          <w:marLeft w:val="0"/>
          <w:marRight w:val="0"/>
          <w:marTop w:val="0"/>
          <w:marBottom w:val="0"/>
          <w:divBdr>
            <w:top w:val="none" w:sz="0" w:space="0" w:color="auto"/>
            <w:left w:val="none" w:sz="0" w:space="0" w:color="auto"/>
            <w:bottom w:val="none" w:sz="0" w:space="0" w:color="auto"/>
            <w:right w:val="none" w:sz="0" w:space="0" w:color="auto"/>
          </w:divBdr>
          <w:divsChild>
            <w:div w:id="460684234">
              <w:marLeft w:val="0"/>
              <w:marRight w:val="0"/>
              <w:marTop w:val="0"/>
              <w:marBottom w:val="0"/>
              <w:divBdr>
                <w:top w:val="none" w:sz="0" w:space="0" w:color="auto"/>
                <w:left w:val="none" w:sz="0" w:space="0" w:color="auto"/>
                <w:bottom w:val="none" w:sz="0" w:space="0" w:color="auto"/>
                <w:right w:val="none" w:sz="0" w:space="0" w:color="auto"/>
              </w:divBdr>
              <w:divsChild>
                <w:div w:id="14789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3004">
      <w:bodyDiv w:val="1"/>
      <w:marLeft w:val="0"/>
      <w:marRight w:val="0"/>
      <w:marTop w:val="0"/>
      <w:marBottom w:val="0"/>
      <w:divBdr>
        <w:top w:val="none" w:sz="0" w:space="0" w:color="auto"/>
        <w:left w:val="none" w:sz="0" w:space="0" w:color="auto"/>
        <w:bottom w:val="none" w:sz="0" w:space="0" w:color="auto"/>
        <w:right w:val="none" w:sz="0" w:space="0" w:color="auto"/>
      </w:divBdr>
    </w:div>
    <w:div w:id="834496726">
      <w:bodyDiv w:val="1"/>
      <w:marLeft w:val="0"/>
      <w:marRight w:val="0"/>
      <w:marTop w:val="0"/>
      <w:marBottom w:val="0"/>
      <w:divBdr>
        <w:top w:val="none" w:sz="0" w:space="0" w:color="auto"/>
        <w:left w:val="none" w:sz="0" w:space="0" w:color="auto"/>
        <w:bottom w:val="none" w:sz="0" w:space="0" w:color="auto"/>
        <w:right w:val="none" w:sz="0" w:space="0" w:color="auto"/>
      </w:divBdr>
    </w:div>
    <w:div w:id="918637586">
      <w:bodyDiv w:val="1"/>
      <w:marLeft w:val="0"/>
      <w:marRight w:val="0"/>
      <w:marTop w:val="0"/>
      <w:marBottom w:val="0"/>
      <w:divBdr>
        <w:top w:val="none" w:sz="0" w:space="0" w:color="auto"/>
        <w:left w:val="none" w:sz="0" w:space="0" w:color="auto"/>
        <w:bottom w:val="none" w:sz="0" w:space="0" w:color="auto"/>
        <w:right w:val="none" w:sz="0" w:space="0" w:color="auto"/>
      </w:divBdr>
      <w:divsChild>
        <w:div w:id="1583175104">
          <w:marLeft w:val="446"/>
          <w:marRight w:val="0"/>
          <w:marTop w:val="0"/>
          <w:marBottom w:val="0"/>
          <w:divBdr>
            <w:top w:val="none" w:sz="0" w:space="0" w:color="auto"/>
            <w:left w:val="none" w:sz="0" w:space="0" w:color="auto"/>
            <w:bottom w:val="none" w:sz="0" w:space="0" w:color="auto"/>
            <w:right w:val="none" w:sz="0" w:space="0" w:color="auto"/>
          </w:divBdr>
        </w:div>
        <w:div w:id="2046296227">
          <w:marLeft w:val="446"/>
          <w:marRight w:val="0"/>
          <w:marTop w:val="0"/>
          <w:marBottom w:val="0"/>
          <w:divBdr>
            <w:top w:val="none" w:sz="0" w:space="0" w:color="auto"/>
            <w:left w:val="none" w:sz="0" w:space="0" w:color="auto"/>
            <w:bottom w:val="none" w:sz="0" w:space="0" w:color="auto"/>
            <w:right w:val="none" w:sz="0" w:space="0" w:color="auto"/>
          </w:divBdr>
        </w:div>
        <w:div w:id="1723167351">
          <w:marLeft w:val="446"/>
          <w:marRight w:val="0"/>
          <w:marTop w:val="0"/>
          <w:marBottom w:val="0"/>
          <w:divBdr>
            <w:top w:val="none" w:sz="0" w:space="0" w:color="auto"/>
            <w:left w:val="none" w:sz="0" w:space="0" w:color="auto"/>
            <w:bottom w:val="none" w:sz="0" w:space="0" w:color="auto"/>
            <w:right w:val="none" w:sz="0" w:space="0" w:color="auto"/>
          </w:divBdr>
        </w:div>
        <w:div w:id="200636644">
          <w:marLeft w:val="446"/>
          <w:marRight w:val="0"/>
          <w:marTop w:val="0"/>
          <w:marBottom w:val="0"/>
          <w:divBdr>
            <w:top w:val="none" w:sz="0" w:space="0" w:color="auto"/>
            <w:left w:val="none" w:sz="0" w:space="0" w:color="auto"/>
            <w:bottom w:val="none" w:sz="0" w:space="0" w:color="auto"/>
            <w:right w:val="none" w:sz="0" w:space="0" w:color="auto"/>
          </w:divBdr>
        </w:div>
        <w:div w:id="1637178489">
          <w:marLeft w:val="446"/>
          <w:marRight w:val="0"/>
          <w:marTop w:val="0"/>
          <w:marBottom w:val="0"/>
          <w:divBdr>
            <w:top w:val="none" w:sz="0" w:space="0" w:color="auto"/>
            <w:left w:val="none" w:sz="0" w:space="0" w:color="auto"/>
            <w:bottom w:val="none" w:sz="0" w:space="0" w:color="auto"/>
            <w:right w:val="none" w:sz="0" w:space="0" w:color="auto"/>
          </w:divBdr>
        </w:div>
      </w:divsChild>
    </w:div>
    <w:div w:id="1021510167">
      <w:bodyDiv w:val="1"/>
      <w:marLeft w:val="0"/>
      <w:marRight w:val="0"/>
      <w:marTop w:val="0"/>
      <w:marBottom w:val="0"/>
      <w:divBdr>
        <w:top w:val="none" w:sz="0" w:space="0" w:color="auto"/>
        <w:left w:val="none" w:sz="0" w:space="0" w:color="auto"/>
        <w:bottom w:val="none" w:sz="0" w:space="0" w:color="auto"/>
        <w:right w:val="none" w:sz="0" w:space="0" w:color="auto"/>
      </w:divBdr>
      <w:divsChild>
        <w:div w:id="1813600871">
          <w:marLeft w:val="0"/>
          <w:marRight w:val="0"/>
          <w:marTop w:val="0"/>
          <w:marBottom w:val="0"/>
          <w:divBdr>
            <w:top w:val="none" w:sz="0" w:space="0" w:color="auto"/>
            <w:left w:val="none" w:sz="0" w:space="0" w:color="auto"/>
            <w:bottom w:val="none" w:sz="0" w:space="0" w:color="auto"/>
            <w:right w:val="none" w:sz="0" w:space="0" w:color="auto"/>
          </w:divBdr>
          <w:divsChild>
            <w:div w:id="1974796814">
              <w:marLeft w:val="0"/>
              <w:marRight w:val="0"/>
              <w:marTop w:val="0"/>
              <w:marBottom w:val="0"/>
              <w:divBdr>
                <w:top w:val="none" w:sz="0" w:space="0" w:color="auto"/>
                <w:left w:val="none" w:sz="0" w:space="0" w:color="auto"/>
                <w:bottom w:val="none" w:sz="0" w:space="0" w:color="auto"/>
                <w:right w:val="none" w:sz="0" w:space="0" w:color="auto"/>
              </w:divBdr>
              <w:divsChild>
                <w:div w:id="20797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5929">
      <w:bodyDiv w:val="1"/>
      <w:marLeft w:val="0"/>
      <w:marRight w:val="0"/>
      <w:marTop w:val="0"/>
      <w:marBottom w:val="0"/>
      <w:divBdr>
        <w:top w:val="none" w:sz="0" w:space="0" w:color="auto"/>
        <w:left w:val="none" w:sz="0" w:space="0" w:color="auto"/>
        <w:bottom w:val="none" w:sz="0" w:space="0" w:color="auto"/>
        <w:right w:val="none" w:sz="0" w:space="0" w:color="auto"/>
      </w:divBdr>
      <w:divsChild>
        <w:div w:id="2038654566">
          <w:marLeft w:val="446"/>
          <w:marRight w:val="0"/>
          <w:marTop w:val="0"/>
          <w:marBottom w:val="0"/>
          <w:divBdr>
            <w:top w:val="none" w:sz="0" w:space="0" w:color="auto"/>
            <w:left w:val="none" w:sz="0" w:space="0" w:color="auto"/>
            <w:bottom w:val="none" w:sz="0" w:space="0" w:color="auto"/>
            <w:right w:val="none" w:sz="0" w:space="0" w:color="auto"/>
          </w:divBdr>
        </w:div>
        <w:div w:id="721640386">
          <w:marLeft w:val="446"/>
          <w:marRight w:val="0"/>
          <w:marTop w:val="0"/>
          <w:marBottom w:val="0"/>
          <w:divBdr>
            <w:top w:val="none" w:sz="0" w:space="0" w:color="auto"/>
            <w:left w:val="none" w:sz="0" w:space="0" w:color="auto"/>
            <w:bottom w:val="none" w:sz="0" w:space="0" w:color="auto"/>
            <w:right w:val="none" w:sz="0" w:space="0" w:color="auto"/>
          </w:divBdr>
        </w:div>
        <w:div w:id="1764254272">
          <w:marLeft w:val="446"/>
          <w:marRight w:val="0"/>
          <w:marTop w:val="0"/>
          <w:marBottom w:val="0"/>
          <w:divBdr>
            <w:top w:val="none" w:sz="0" w:space="0" w:color="auto"/>
            <w:left w:val="none" w:sz="0" w:space="0" w:color="auto"/>
            <w:bottom w:val="none" w:sz="0" w:space="0" w:color="auto"/>
            <w:right w:val="none" w:sz="0" w:space="0" w:color="auto"/>
          </w:divBdr>
        </w:div>
        <w:div w:id="1824739449">
          <w:marLeft w:val="446"/>
          <w:marRight w:val="0"/>
          <w:marTop w:val="0"/>
          <w:marBottom w:val="0"/>
          <w:divBdr>
            <w:top w:val="none" w:sz="0" w:space="0" w:color="auto"/>
            <w:left w:val="none" w:sz="0" w:space="0" w:color="auto"/>
            <w:bottom w:val="none" w:sz="0" w:space="0" w:color="auto"/>
            <w:right w:val="none" w:sz="0" w:space="0" w:color="auto"/>
          </w:divBdr>
        </w:div>
      </w:divsChild>
    </w:div>
    <w:div w:id="1523283836">
      <w:bodyDiv w:val="1"/>
      <w:marLeft w:val="0"/>
      <w:marRight w:val="0"/>
      <w:marTop w:val="0"/>
      <w:marBottom w:val="0"/>
      <w:divBdr>
        <w:top w:val="none" w:sz="0" w:space="0" w:color="auto"/>
        <w:left w:val="none" w:sz="0" w:space="0" w:color="auto"/>
        <w:bottom w:val="none" w:sz="0" w:space="0" w:color="auto"/>
        <w:right w:val="none" w:sz="0" w:space="0" w:color="auto"/>
      </w:divBdr>
    </w:div>
    <w:div w:id="1656299034">
      <w:bodyDiv w:val="1"/>
      <w:marLeft w:val="0"/>
      <w:marRight w:val="0"/>
      <w:marTop w:val="0"/>
      <w:marBottom w:val="0"/>
      <w:divBdr>
        <w:top w:val="none" w:sz="0" w:space="0" w:color="auto"/>
        <w:left w:val="none" w:sz="0" w:space="0" w:color="auto"/>
        <w:bottom w:val="none" w:sz="0" w:space="0" w:color="auto"/>
        <w:right w:val="none" w:sz="0" w:space="0" w:color="auto"/>
      </w:divBdr>
      <w:divsChild>
        <w:div w:id="171620054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32869051">
              <w:marLeft w:val="0"/>
              <w:marRight w:val="0"/>
              <w:marTop w:val="0"/>
              <w:marBottom w:val="0"/>
              <w:divBdr>
                <w:top w:val="none" w:sz="0" w:space="0" w:color="auto"/>
                <w:left w:val="none" w:sz="0" w:space="0" w:color="auto"/>
                <w:bottom w:val="none" w:sz="0" w:space="0" w:color="auto"/>
                <w:right w:val="none" w:sz="0" w:space="0" w:color="auto"/>
              </w:divBdr>
              <w:divsChild>
                <w:div w:id="1955674001">
                  <w:marLeft w:val="0"/>
                  <w:marRight w:val="0"/>
                  <w:marTop w:val="0"/>
                  <w:marBottom w:val="0"/>
                  <w:divBdr>
                    <w:top w:val="none" w:sz="0" w:space="0" w:color="auto"/>
                    <w:left w:val="none" w:sz="0" w:space="0" w:color="auto"/>
                    <w:bottom w:val="none" w:sz="0" w:space="0" w:color="auto"/>
                    <w:right w:val="none" w:sz="0" w:space="0" w:color="auto"/>
                  </w:divBdr>
                  <w:divsChild>
                    <w:div w:id="741412307">
                      <w:marLeft w:val="0"/>
                      <w:marRight w:val="0"/>
                      <w:marTop w:val="0"/>
                      <w:marBottom w:val="0"/>
                      <w:divBdr>
                        <w:top w:val="none" w:sz="0" w:space="0" w:color="auto"/>
                        <w:left w:val="none" w:sz="0" w:space="0" w:color="auto"/>
                        <w:bottom w:val="none" w:sz="0" w:space="0" w:color="auto"/>
                        <w:right w:val="none" w:sz="0" w:space="0" w:color="auto"/>
                      </w:divBdr>
                      <w:divsChild>
                        <w:div w:id="1024019229">
                          <w:marLeft w:val="0"/>
                          <w:marRight w:val="0"/>
                          <w:marTop w:val="0"/>
                          <w:marBottom w:val="0"/>
                          <w:divBdr>
                            <w:top w:val="none" w:sz="0" w:space="0" w:color="auto"/>
                            <w:left w:val="none" w:sz="0" w:space="0" w:color="auto"/>
                            <w:bottom w:val="none" w:sz="0" w:space="0" w:color="auto"/>
                            <w:right w:val="none" w:sz="0" w:space="0" w:color="auto"/>
                          </w:divBdr>
                          <w:divsChild>
                            <w:div w:id="446855375">
                              <w:marLeft w:val="0"/>
                              <w:marRight w:val="0"/>
                              <w:marTop w:val="0"/>
                              <w:marBottom w:val="0"/>
                              <w:divBdr>
                                <w:top w:val="none" w:sz="0" w:space="0" w:color="auto"/>
                                <w:left w:val="none" w:sz="0" w:space="0" w:color="auto"/>
                                <w:bottom w:val="none" w:sz="0" w:space="0" w:color="auto"/>
                                <w:right w:val="none" w:sz="0" w:space="0" w:color="auto"/>
                              </w:divBdr>
                              <w:divsChild>
                                <w:div w:id="991837676">
                                  <w:marLeft w:val="0"/>
                                  <w:marRight w:val="0"/>
                                  <w:marTop w:val="0"/>
                                  <w:marBottom w:val="0"/>
                                  <w:divBdr>
                                    <w:top w:val="none" w:sz="0" w:space="0" w:color="auto"/>
                                    <w:left w:val="none" w:sz="0" w:space="0" w:color="auto"/>
                                    <w:bottom w:val="none" w:sz="0" w:space="0" w:color="auto"/>
                                    <w:right w:val="none" w:sz="0" w:space="0" w:color="auto"/>
                                  </w:divBdr>
                                  <w:divsChild>
                                    <w:div w:id="12327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64824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72298813">
              <w:marLeft w:val="0"/>
              <w:marRight w:val="0"/>
              <w:marTop w:val="0"/>
              <w:marBottom w:val="0"/>
              <w:divBdr>
                <w:top w:val="none" w:sz="0" w:space="0" w:color="auto"/>
                <w:left w:val="none" w:sz="0" w:space="0" w:color="auto"/>
                <w:bottom w:val="none" w:sz="0" w:space="0" w:color="auto"/>
                <w:right w:val="none" w:sz="0" w:space="0" w:color="auto"/>
              </w:divBdr>
              <w:divsChild>
                <w:div w:id="396317754">
                  <w:marLeft w:val="0"/>
                  <w:marRight w:val="0"/>
                  <w:marTop w:val="0"/>
                  <w:marBottom w:val="0"/>
                  <w:divBdr>
                    <w:top w:val="none" w:sz="0" w:space="0" w:color="auto"/>
                    <w:left w:val="none" w:sz="0" w:space="0" w:color="auto"/>
                    <w:bottom w:val="none" w:sz="0" w:space="0" w:color="auto"/>
                    <w:right w:val="none" w:sz="0" w:space="0" w:color="auto"/>
                  </w:divBdr>
                  <w:divsChild>
                    <w:div w:id="562453628">
                      <w:blockQuote w:val="1"/>
                      <w:marLeft w:val="150"/>
                      <w:marRight w:val="150"/>
                      <w:marTop w:val="0"/>
                      <w:marBottom w:val="0"/>
                      <w:divBdr>
                        <w:top w:val="none" w:sz="0" w:space="0" w:color="auto"/>
                        <w:left w:val="none" w:sz="0" w:space="0" w:color="auto"/>
                        <w:bottom w:val="none" w:sz="0" w:space="0" w:color="auto"/>
                        <w:right w:val="none" w:sz="0" w:space="0" w:color="auto"/>
                      </w:divBdr>
                      <w:divsChild>
                        <w:div w:id="947586089">
                          <w:marLeft w:val="0"/>
                          <w:marRight w:val="0"/>
                          <w:marTop w:val="0"/>
                          <w:marBottom w:val="0"/>
                          <w:divBdr>
                            <w:top w:val="none" w:sz="0" w:space="0" w:color="auto"/>
                            <w:left w:val="none" w:sz="0" w:space="0" w:color="auto"/>
                            <w:bottom w:val="none" w:sz="0" w:space="0" w:color="auto"/>
                            <w:right w:val="none" w:sz="0" w:space="0" w:color="auto"/>
                          </w:divBdr>
                          <w:divsChild>
                            <w:div w:id="1504204647">
                              <w:marLeft w:val="0"/>
                              <w:marRight w:val="0"/>
                              <w:marTop w:val="0"/>
                              <w:marBottom w:val="0"/>
                              <w:divBdr>
                                <w:top w:val="none" w:sz="0" w:space="0" w:color="auto"/>
                                <w:left w:val="none" w:sz="0" w:space="0" w:color="auto"/>
                                <w:bottom w:val="none" w:sz="0" w:space="0" w:color="auto"/>
                                <w:right w:val="none" w:sz="0" w:space="0" w:color="auto"/>
                              </w:divBdr>
                              <w:divsChild>
                                <w:div w:id="1419906722">
                                  <w:marLeft w:val="0"/>
                                  <w:marRight w:val="0"/>
                                  <w:marTop w:val="0"/>
                                  <w:marBottom w:val="0"/>
                                  <w:divBdr>
                                    <w:top w:val="none" w:sz="0" w:space="0" w:color="auto"/>
                                    <w:left w:val="none" w:sz="0" w:space="0" w:color="auto"/>
                                    <w:bottom w:val="none" w:sz="0" w:space="0" w:color="auto"/>
                                    <w:right w:val="none" w:sz="0" w:space="0" w:color="auto"/>
                                  </w:divBdr>
                                  <w:divsChild>
                                    <w:div w:id="1221281939">
                                      <w:blockQuote w:val="1"/>
                                      <w:marLeft w:val="150"/>
                                      <w:marRight w:val="150"/>
                                      <w:marTop w:val="0"/>
                                      <w:marBottom w:val="0"/>
                                      <w:divBdr>
                                        <w:top w:val="none" w:sz="0" w:space="0" w:color="auto"/>
                                        <w:left w:val="none" w:sz="0" w:space="0" w:color="auto"/>
                                        <w:bottom w:val="none" w:sz="0" w:space="0" w:color="auto"/>
                                        <w:right w:val="none" w:sz="0" w:space="0" w:color="auto"/>
                                      </w:divBdr>
                                      <w:divsChild>
                                        <w:div w:id="954139547">
                                          <w:marLeft w:val="0"/>
                                          <w:marRight w:val="0"/>
                                          <w:marTop w:val="0"/>
                                          <w:marBottom w:val="0"/>
                                          <w:divBdr>
                                            <w:top w:val="none" w:sz="0" w:space="0" w:color="auto"/>
                                            <w:left w:val="none" w:sz="0" w:space="0" w:color="auto"/>
                                            <w:bottom w:val="none" w:sz="0" w:space="0" w:color="auto"/>
                                            <w:right w:val="none" w:sz="0" w:space="0" w:color="auto"/>
                                          </w:divBdr>
                                          <w:divsChild>
                                            <w:div w:id="469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178748">
      <w:bodyDiv w:val="1"/>
      <w:marLeft w:val="0"/>
      <w:marRight w:val="0"/>
      <w:marTop w:val="0"/>
      <w:marBottom w:val="0"/>
      <w:divBdr>
        <w:top w:val="none" w:sz="0" w:space="0" w:color="auto"/>
        <w:left w:val="none" w:sz="0" w:space="0" w:color="auto"/>
        <w:bottom w:val="none" w:sz="0" w:space="0" w:color="auto"/>
        <w:right w:val="none" w:sz="0" w:space="0" w:color="auto"/>
      </w:divBdr>
      <w:divsChild>
        <w:div w:id="2067141713">
          <w:marLeft w:val="0"/>
          <w:marRight w:val="0"/>
          <w:marTop w:val="0"/>
          <w:marBottom w:val="0"/>
          <w:divBdr>
            <w:top w:val="none" w:sz="0" w:space="0" w:color="auto"/>
            <w:left w:val="none" w:sz="0" w:space="0" w:color="auto"/>
            <w:bottom w:val="none" w:sz="0" w:space="0" w:color="auto"/>
            <w:right w:val="none" w:sz="0" w:space="0" w:color="auto"/>
          </w:divBdr>
          <w:divsChild>
            <w:div w:id="1627812822">
              <w:marLeft w:val="0"/>
              <w:marRight w:val="0"/>
              <w:marTop w:val="0"/>
              <w:marBottom w:val="0"/>
              <w:divBdr>
                <w:top w:val="none" w:sz="0" w:space="0" w:color="auto"/>
                <w:left w:val="none" w:sz="0" w:space="0" w:color="auto"/>
                <w:bottom w:val="none" w:sz="0" w:space="0" w:color="auto"/>
                <w:right w:val="none" w:sz="0" w:space="0" w:color="auto"/>
              </w:divBdr>
              <w:divsChild>
                <w:div w:id="4731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9263">
      <w:bodyDiv w:val="1"/>
      <w:marLeft w:val="0"/>
      <w:marRight w:val="0"/>
      <w:marTop w:val="0"/>
      <w:marBottom w:val="0"/>
      <w:divBdr>
        <w:top w:val="none" w:sz="0" w:space="0" w:color="auto"/>
        <w:left w:val="none" w:sz="0" w:space="0" w:color="auto"/>
        <w:bottom w:val="none" w:sz="0" w:space="0" w:color="auto"/>
        <w:right w:val="none" w:sz="0" w:space="0" w:color="auto"/>
      </w:divBdr>
      <w:divsChild>
        <w:div w:id="1810779902">
          <w:marLeft w:val="0"/>
          <w:marRight w:val="0"/>
          <w:marTop w:val="0"/>
          <w:marBottom w:val="0"/>
          <w:divBdr>
            <w:top w:val="none" w:sz="0" w:space="0" w:color="auto"/>
            <w:left w:val="none" w:sz="0" w:space="0" w:color="auto"/>
            <w:bottom w:val="none" w:sz="0" w:space="0" w:color="auto"/>
            <w:right w:val="none" w:sz="0" w:space="0" w:color="auto"/>
          </w:divBdr>
          <w:divsChild>
            <w:div w:id="74401349">
              <w:marLeft w:val="0"/>
              <w:marRight w:val="0"/>
              <w:marTop w:val="0"/>
              <w:marBottom w:val="0"/>
              <w:divBdr>
                <w:top w:val="none" w:sz="0" w:space="0" w:color="auto"/>
                <w:left w:val="none" w:sz="0" w:space="0" w:color="auto"/>
                <w:bottom w:val="none" w:sz="0" w:space="0" w:color="auto"/>
                <w:right w:val="none" w:sz="0" w:space="0" w:color="auto"/>
              </w:divBdr>
              <w:divsChild>
                <w:div w:id="4714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0783">
      <w:bodyDiv w:val="1"/>
      <w:marLeft w:val="0"/>
      <w:marRight w:val="0"/>
      <w:marTop w:val="0"/>
      <w:marBottom w:val="0"/>
      <w:divBdr>
        <w:top w:val="none" w:sz="0" w:space="0" w:color="auto"/>
        <w:left w:val="none" w:sz="0" w:space="0" w:color="auto"/>
        <w:bottom w:val="none" w:sz="0" w:space="0" w:color="auto"/>
        <w:right w:val="none" w:sz="0" w:space="0" w:color="auto"/>
      </w:divBdr>
    </w:div>
    <w:div w:id="2063289588">
      <w:bodyDiv w:val="1"/>
      <w:marLeft w:val="0"/>
      <w:marRight w:val="0"/>
      <w:marTop w:val="0"/>
      <w:marBottom w:val="0"/>
      <w:divBdr>
        <w:top w:val="none" w:sz="0" w:space="0" w:color="auto"/>
        <w:left w:val="none" w:sz="0" w:space="0" w:color="auto"/>
        <w:bottom w:val="none" w:sz="0" w:space="0" w:color="auto"/>
        <w:right w:val="none" w:sz="0" w:space="0" w:color="auto"/>
      </w:divBdr>
    </w:div>
    <w:div w:id="20779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lialongeva.it/wp-content/uploads/2023/07/Indagine-Italia-Longeva-2023.pdf"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arroni@vrelations.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lgiudice@vrelations.i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dati.istat.it/Index.aspx?QueryId=42869" TargetMode="External"/><Relationship Id="rId4" Type="http://schemas.openxmlformats.org/officeDocument/2006/relationships/settings" Target="settings.xml"/><Relationship Id="rId9" Type="http://schemas.openxmlformats.org/officeDocument/2006/relationships/hyperlink" Target="https://www.italialongeva.it/wp-content/uploads/2023/07/Indagine-Italia-Longeva-2023.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EECA-8B1A-443A-BB1D-27E0E034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8155</Characters>
  <Application>Microsoft Office Word</Application>
  <DocSecurity>0</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Sanofi Pasteur MSD</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Bonfante</dc:creator>
  <cp:lastModifiedBy>Chiara Farroni</cp:lastModifiedBy>
  <cp:revision>2</cp:revision>
  <cp:lastPrinted>2021-10-27T10:11:00Z</cp:lastPrinted>
  <dcterms:created xsi:type="dcterms:W3CDTF">2023-07-11T10:01:00Z</dcterms:created>
  <dcterms:modified xsi:type="dcterms:W3CDTF">2023-07-11T10:01:00Z</dcterms:modified>
</cp:coreProperties>
</file>